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5409" w14:textId="77777777" w:rsidR="00E826D0" w:rsidRPr="005456DF" w:rsidRDefault="0044135B" w:rsidP="00E826D0">
      <w:pPr>
        <w:tabs>
          <w:tab w:val="left" w:pos="6504"/>
          <w:tab w:val="left" w:pos="7200"/>
        </w:tabs>
        <w:suppressAutoHyphens/>
        <w:ind w:right="-900"/>
        <w:jc w:val="both"/>
        <w:rPr>
          <w:rFonts w:eastAsia="Times New Roman"/>
          <w:sz w:val="22"/>
          <w:szCs w:val="22"/>
          <w:lang w:val="en-US" w:eastAsia="en-US"/>
        </w:rPr>
      </w:pPr>
      <w:r w:rsidRPr="00E826D0">
        <w:rPr>
          <w:b/>
          <w:spacing w:val="-2"/>
          <w:sz w:val="22"/>
          <w:szCs w:val="22"/>
          <w:lang w:val="en-US" w:eastAsia="en-US"/>
        </w:rPr>
        <w:t xml:space="preserve">INTER-AMERICAN AGENCY FOR </w:t>
      </w:r>
      <w:r w:rsidRPr="00E826D0">
        <w:rPr>
          <w:b/>
          <w:spacing w:val="-2"/>
          <w:sz w:val="22"/>
          <w:szCs w:val="22"/>
          <w:lang w:val="en-US" w:eastAsia="en-US"/>
        </w:rPr>
        <w:tab/>
      </w:r>
      <w:r w:rsidR="00E826D0" w:rsidRPr="005456DF">
        <w:rPr>
          <w:rFonts w:eastAsia="Times New Roman"/>
          <w:sz w:val="22"/>
          <w:szCs w:val="22"/>
          <w:lang w:val="en-US" w:eastAsia="en-US"/>
        </w:rPr>
        <w:t>OEA/Ser. W</w:t>
      </w:r>
    </w:p>
    <w:p w14:paraId="0814D48F" w14:textId="58DD3AF8" w:rsidR="0044135B" w:rsidRPr="005456DF" w:rsidRDefault="00E826D0" w:rsidP="00E826D0">
      <w:pPr>
        <w:tabs>
          <w:tab w:val="left" w:pos="6504"/>
          <w:tab w:val="left" w:pos="7200"/>
        </w:tabs>
        <w:suppressAutoHyphens/>
        <w:ind w:right="-900"/>
        <w:jc w:val="both"/>
        <w:rPr>
          <w:b/>
          <w:spacing w:val="-2"/>
          <w:sz w:val="22"/>
          <w:szCs w:val="22"/>
          <w:lang w:val="en-US"/>
        </w:rPr>
      </w:pPr>
      <w:r w:rsidRPr="005456DF">
        <w:rPr>
          <w:b/>
          <w:spacing w:val="-2"/>
          <w:sz w:val="22"/>
          <w:szCs w:val="22"/>
          <w:lang w:val="en-US" w:eastAsia="en-US"/>
        </w:rPr>
        <w:t>COOPERATION AND DEVELOPMENT</w:t>
      </w:r>
      <w:r w:rsidRPr="005456DF">
        <w:rPr>
          <w:spacing w:val="-2"/>
          <w:sz w:val="22"/>
          <w:szCs w:val="22"/>
          <w:lang w:val="en-US" w:eastAsia="en-US"/>
        </w:rPr>
        <w:tab/>
      </w:r>
      <w:r w:rsidR="0044135B" w:rsidRPr="005456DF">
        <w:rPr>
          <w:spacing w:val="-2"/>
          <w:sz w:val="22"/>
          <w:szCs w:val="22"/>
          <w:lang w:val="en-US" w:eastAsia="en-US"/>
        </w:rPr>
        <w:t>AICD/JD/doc.</w:t>
      </w:r>
      <w:r w:rsidR="005456DF" w:rsidRPr="005456DF">
        <w:rPr>
          <w:spacing w:val="-2"/>
          <w:sz w:val="22"/>
          <w:szCs w:val="22"/>
          <w:lang w:val="en-US" w:eastAsia="en-US"/>
        </w:rPr>
        <w:t>180</w:t>
      </w:r>
      <w:r w:rsidR="001D2F4E" w:rsidRPr="005456DF">
        <w:rPr>
          <w:spacing w:val="-2"/>
          <w:sz w:val="22"/>
          <w:szCs w:val="22"/>
          <w:lang w:val="en-US" w:eastAsia="en-US"/>
        </w:rPr>
        <w:t>/20</w:t>
      </w:r>
      <w:r w:rsidR="0044135B" w:rsidRPr="005456DF">
        <w:rPr>
          <w:spacing w:val="-2"/>
          <w:sz w:val="22"/>
          <w:szCs w:val="22"/>
          <w:lang w:val="en-US" w:eastAsia="en-US"/>
        </w:rPr>
        <w:t xml:space="preserve"> </w:t>
      </w:r>
      <w:r w:rsidR="0041118B">
        <w:rPr>
          <w:spacing w:val="-2"/>
          <w:sz w:val="22"/>
          <w:szCs w:val="22"/>
          <w:lang w:val="en-US" w:eastAsia="en-US"/>
        </w:rPr>
        <w:t>rev.</w:t>
      </w:r>
      <w:r w:rsidR="005D0F9C">
        <w:rPr>
          <w:spacing w:val="-2"/>
          <w:sz w:val="22"/>
          <w:szCs w:val="22"/>
          <w:lang w:val="en-US" w:eastAsia="en-US"/>
        </w:rPr>
        <w:t>2</w:t>
      </w:r>
    </w:p>
    <w:p w14:paraId="222B2C05" w14:textId="7E13C8AB" w:rsidR="0044135B" w:rsidRPr="00E826D0" w:rsidRDefault="00E826D0" w:rsidP="00E826D0">
      <w:pPr>
        <w:pStyle w:val="Header"/>
        <w:tabs>
          <w:tab w:val="left" w:pos="6210"/>
          <w:tab w:val="left" w:pos="6480"/>
          <w:tab w:val="left" w:pos="6570"/>
          <w:tab w:val="left" w:pos="7200"/>
        </w:tabs>
        <w:suppressAutoHyphens/>
        <w:ind w:right="-900"/>
        <w:rPr>
          <w:spacing w:val="-2"/>
          <w:sz w:val="22"/>
          <w:szCs w:val="22"/>
          <w:lang w:val="en-US"/>
        </w:rPr>
      </w:pPr>
      <w:r w:rsidRPr="005456DF">
        <w:rPr>
          <w:b/>
          <w:spacing w:val="-2"/>
          <w:sz w:val="22"/>
          <w:szCs w:val="22"/>
          <w:lang w:val="en-US" w:eastAsia="en-US"/>
        </w:rPr>
        <w:t>MEETING OF THE MANAGEMENT BOARD</w:t>
      </w:r>
      <w:r w:rsidR="0044135B" w:rsidRPr="005456DF">
        <w:rPr>
          <w:b/>
          <w:spacing w:val="-2"/>
          <w:sz w:val="22"/>
          <w:szCs w:val="22"/>
          <w:lang w:val="en-US" w:eastAsia="en-US"/>
        </w:rPr>
        <w:tab/>
      </w:r>
      <w:r w:rsidR="0044135B" w:rsidRPr="005456DF">
        <w:rPr>
          <w:b/>
          <w:spacing w:val="-2"/>
          <w:sz w:val="22"/>
          <w:szCs w:val="22"/>
          <w:lang w:val="en-US" w:eastAsia="en-US"/>
        </w:rPr>
        <w:tab/>
      </w:r>
      <w:r w:rsidRPr="005456DF">
        <w:rPr>
          <w:b/>
          <w:spacing w:val="-2"/>
          <w:sz w:val="22"/>
          <w:szCs w:val="22"/>
          <w:lang w:val="en-US" w:eastAsia="en-US"/>
        </w:rPr>
        <w:tab/>
      </w:r>
      <w:r w:rsidR="00F42F7D" w:rsidRPr="005D0F9C">
        <w:rPr>
          <w:sz w:val="22"/>
          <w:szCs w:val="22"/>
          <w:lang w:val="en-US"/>
        </w:rPr>
        <w:t>2</w:t>
      </w:r>
      <w:r w:rsidR="005D0F9C" w:rsidRPr="005D0F9C">
        <w:rPr>
          <w:sz w:val="22"/>
          <w:szCs w:val="22"/>
          <w:lang w:val="en-US"/>
        </w:rPr>
        <w:t xml:space="preserve">5 </w:t>
      </w:r>
      <w:r w:rsidR="008E649D" w:rsidRPr="005D0F9C">
        <w:rPr>
          <w:sz w:val="22"/>
          <w:szCs w:val="22"/>
          <w:lang w:val="en-US"/>
        </w:rPr>
        <w:t>September</w:t>
      </w:r>
      <w:r w:rsidR="00055221" w:rsidRPr="005D0F9C">
        <w:rPr>
          <w:sz w:val="22"/>
          <w:szCs w:val="22"/>
          <w:lang w:val="en-US"/>
        </w:rPr>
        <w:t xml:space="preserve"> </w:t>
      </w:r>
      <w:r w:rsidR="00F53201" w:rsidRPr="005D0F9C">
        <w:rPr>
          <w:sz w:val="22"/>
          <w:szCs w:val="22"/>
          <w:lang w:val="en-US"/>
        </w:rPr>
        <w:t>20</w:t>
      </w:r>
      <w:r w:rsidR="00300ABA" w:rsidRPr="005D0F9C">
        <w:rPr>
          <w:sz w:val="22"/>
          <w:szCs w:val="22"/>
          <w:lang w:val="en-US"/>
        </w:rPr>
        <w:t>20</w:t>
      </w:r>
    </w:p>
    <w:p w14:paraId="6D448CE3" w14:textId="77777777" w:rsidR="0044135B" w:rsidRPr="00E826D0" w:rsidRDefault="0044135B" w:rsidP="00E826D0">
      <w:pPr>
        <w:pStyle w:val="Header"/>
        <w:tabs>
          <w:tab w:val="clear" w:pos="4680"/>
          <w:tab w:val="clear" w:pos="9360"/>
          <w:tab w:val="left" w:pos="6120"/>
          <w:tab w:val="left" w:pos="6480"/>
          <w:tab w:val="left" w:pos="7200"/>
        </w:tabs>
        <w:suppressAutoHyphens/>
        <w:ind w:right="-900"/>
        <w:rPr>
          <w:snapToGrid w:val="0"/>
          <w:spacing w:val="-2"/>
          <w:sz w:val="22"/>
          <w:szCs w:val="22"/>
          <w:lang w:val="en-US"/>
        </w:rPr>
      </w:pPr>
      <w:r w:rsidRPr="00E826D0">
        <w:rPr>
          <w:spacing w:val="-2"/>
          <w:sz w:val="22"/>
          <w:szCs w:val="22"/>
          <w:lang w:val="en-US" w:eastAsia="en-US"/>
        </w:rPr>
        <w:tab/>
      </w:r>
      <w:r w:rsidR="00E826D0" w:rsidRPr="00E826D0">
        <w:rPr>
          <w:spacing w:val="-2"/>
          <w:sz w:val="22"/>
          <w:szCs w:val="22"/>
          <w:lang w:val="en-US" w:eastAsia="en-US"/>
        </w:rPr>
        <w:tab/>
      </w:r>
      <w:r w:rsidRPr="00E826D0">
        <w:rPr>
          <w:spacing w:val="-2"/>
          <w:sz w:val="22"/>
          <w:szCs w:val="22"/>
          <w:lang w:val="en-US" w:eastAsia="en-US"/>
        </w:rPr>
        <w:t>Original: English</w:t>
      </w:r>
    </w:p>
    <w:p w14:paraId="79DDCED5" w14:textId="77777777" w:rsidR="0044135B" w:rsidRPr="0044135B" w:rsidRDefault="0044135B" w:rsidP="0044135B">
      <w:pPr>
        <w:pBdr>
          <w:bottom w:val="single" w:sz="12" w:space="1" w:color="auto"/>
        </w:pBdr>
        <w:rPr>
          <w:sz w:val="22"/>
          <w:szCs w:val="22"/>
          <w:lang w:val="en-US"/>
        </w:rPr>
      </w:pPr>
    </w:p>
    <w:p w14:paraId="4D54B0A6" w14:textId="77777777" w:rsidR="00676ADF" w:rsidRDefault="00676ADF" w:rsidP="001D2F4E">
      <w:pPr>
        <w:jc w:val="both"/>
        <w:rPr>
          <w:color w:val="000000"/>
          <w:szCs w:val="22"/>
          <w:lang w:val="en-US"/>
        </w:rPr>
      </w:pPr>
    </w:p>
    <w:p w14:paraId="4509A01A" w14:textId="77777777" w:rsidR="001D2F4E" w:rsidRPr="009271BC" w:rsidRDefault="001D2F4E" w:rsidP="001D2F4E">
      <w:pPr>
        <w:tabs>
          <w:tab w:val="left" w:pos="7200"/>
        </w:tabs>
        <w:ind w:right="-720"/>
        <w:rPr>
          <w:sz w:val="22"/>
          <w:szCs w:val="22"/>
          <w:lang w:val="en-US"/>
        </w:rPr>
      </w:pPr>
    </w:p>
    <w:p w14:paraId="1D4FF072" w14:textId="3A47E0D6" w:rsidR="00600AA4" w:rsidRPr="005456DF" w:rsidRDefault="00600AA4" w:rsidP="00600AA4">
      <w:pPr>
        <w:jc w:val="center"/>
        <w:outlineLvl w:val="0"/>
        <w:rPr>
          <w:sz w:val="22"/>
          <w:szCs w:val="22"/>
          <w:lang w:val="en-US"/>
        </w:rPr>
      </w:pPr>
      <w:r w:rsidRPr="005456DF">
        <w:rPr>
          <w:sz w:val="22"/>
          <w:szCs w:val="22"/>
          <w:lang w:val="en-US"/>
        </w:rPr>
        <w:t xml:space="preserve">AREA OF ACTION AND PROGRAMS FOR THE 2021-2024 PROGRAMMING CYCLE OF THE DEVELOPMENT COOPERATION FUND (DCF) </w:t>
      </w:r>
    </w:p>
    <w:p w14:paraId="1EC80794" w14:textId="77777777" w:rsidR="00600AA4" w:rsidRPr="005456DF" w:rsidRDefault="00600AA4" w:rsidP="00600AA4">
      <w:pPr>
        <w:jc w:val="both"/>
        <w:rPr>
          <w:sz w:val="22"/>
          <w:szCs w:val="22"/>
          <w:lang w:val="en-US"/>
        </w:rPr>
      </w:pPr>
    </w:p>
    <w:p w14:paraId="379C5E76" w14:textId="4BCEC2D9" w:rsidR="005456DF" w:rsidRDefault="0039609F" w:rsidP="0041118B">
      <w:pPr>
        <w:jc w:val="center"/>
        <w:rPr>
          <w:sz w:val="22"/>
          <w:szCs w:val="22"/>
          <w:lang w:val="en-US"/>
        </w:rPr>
      </w:pPr>
      <w:r>
        <w:rPr>
          <w:sz w:val="22"/>
          <w:szCs w:val="22"/>
          <w:lang w:val="en-US"/>
        </w:rPr>
        <w:t>(</w:t>
      </w:r>
      <w:proofErr w:type="gramStart"/>
      <w:r w:rsidR="005D0F9C">
        <w:rPr>
          <w:sz w:val="22"/>
          <w:szCs w:val="22"/>
          <w:lang w:val="en-US"/>
        </w:rPr>
        <w:t>Approved</w:t>
      </w:r>
      <w:r w:rsidR="005456DF">
        <w:rPr>
          <w:sz w:val="22"/>
          <w:szCs w:val="22"/>
          <w:lang w:val="en-US"/>
        </w:rPr>
        <w:t xml:space="preserve"> </w:t>
      </w:r>
      <w:r w:rsidR="005456DF" w:rsidRPr="00EF487D">
        <w:rPr>
          <w:sz w:val="22"/>
          <w:szCs w:val="22"/>
          <w:lang w:val="en-US"/>
        </w:rPr>
        <w:t xml:space="preserve"> </w:t>
      </w:r>
      <w:r w:rsidR="005456DF">
        <w:rPr>
          <w:sz w:val="22"/>
          <w:szCs w:val="22"/>
          <w:lang w:val="en-US"/>
        </w:rPr>
        <w:t>at</w:t>
      </w:r>
      <w:proofErr w:type="gramEnd"/>
      <w:r w:rsidR="005456DF">
        <w:rPr>
          <w:sz w:val="22"/>
          <w:szCs w:val="22"/>
          <w:lang w:val="en-US"/>
        </w:rPr>
        <w:t xml:space="preserve"> the Management Board meeting</w:t>
      </w:r>
      <w:r w:rsidR="005D0F9C">
        <w:rPr>
          <w:sz w:val="22"/>
          <w:szCs w:val="22"/>
          <w:lang w:val="en-US"/>
        </w:rPr>
        <w:t xml:space="preserve"> of the Management Board </w:t>
      </w:r>
      <w:r w:rsidR="005456DF" w:rsidRPr="00EF487D">
        <w:rPr>
          <w:sz w:val="22"/>
          <w:szCs w:val="22"/>
          <w:lang w:val="en-US"/>
        </w:rPr>
        <w:t xml:space="preserve">held on </w:t>
      </w:r>
      <w:r w:rsidR="005D0F9C">
        <w:rPr>
          <w:sz w:val="22"/>
          <w:szCs w:val="22"/>
          <w:lang w:val="en-US"/>
        </w:rPr>
        <w:t>September</w:t>
      </w:r>
      <w:r w:rsidR="005456DF">
        <w:rPr>
          <w:sz w:val="22"/>
          <w:szCs w:val="22"/>
          <w:lang w:val="en-US"/>
        </w:rPr>
        <w:t xml:space="preserve"> </w:t>
      </w:r>
      <w:r w:rsidR="005D0F9C">
        <w:rPr>
          <w:sz w:val="22"/>
          <w:szCs w:val="22"/>
          <w:lang w:val="en-US"/>
        </w:rPr>
        <w:t>21</w:t>
      </w:r>
      <w:r w:rsidR="005456DF" w:rsidRPr="00EF487D">
        <w:rPr>
          <w:sz w:val="22"/>
          <w:szCs w:val="22"/>
          <w:lang w:val="en-US"/>
        </w:rPr>
        <w:t>, 20</w:t>
      </w:r>
      <w:r w:rsidR="005456DF">
        <w:rPr>
          <w:sz w:val="22"/>
          <w:szCs w:val="22"/>
          <w:lang w:val="en-US"/>
        </w:rPr>
        <w:t>20</w:t>
      </w:r>
      <w:r w:rsidR="005D0F9C">
        <w:rPr>
          <w:sz w:val="22"/>
          <w:szCs w:val="22"/>
          <w:lang w:val="en-US"/>
        </w:rPr>
        <w:t>, by decis</w:t>
      </w:r>
      <w:bookmarkStart w:id="0" w:name="_GoBack"/>
      <w:bookmarkEnd w:id="0"/>
      <w:r w:rsidR="005D0F9C">
        <w:rPr>
          <w:sz w:val="22"/>
          <w:szCs w:val="22"/>
          <w:lang w:val="en-US"/>
        </w:rPr>
        <w:t xml:space="preserve">ion </w:t>
      </w:r>
      <w:hyperlink r:id="rId8" w:history="1">
        <w:r w:rsidR="005D0F9C" w:rsidRPr="005D0F9C">
          <w:rPr>
            <w:rFonts w:eastAsia="Calibri"/>
            <w:noProof/>
            <w:color w:val="0563C1"/>
            <w:sz w:val="22"/>
            <w:szCs w:val="22"/>
            <w:u w:val="single"/>
            <w:lang w:val="en-US" w:eastAsia="en-US"/>
          </w:rPr>
          <w:t>AICD/JD/DE-126/20</w:t>
        </w:r>
      </w:hyperlink>
      <w:r>
        <w:rPr>
          <w:sz w:val="22"/>
          <w:szCs w:val="22"/>
          <w:lang w:val="en-US"/>
        </w:rPr>
        <w:t>)</w:t>
      </w:r>
    </w:p>
    <w:p w14:paraId="04E09FE0" w14:textId="24BB90B5" w:rsidR="00600AA4" w:rsidRDefault="00600AA4" w:rsidP="00600AA4">
      <w:pPr>
        <w:jc w:val="both"/>
        <w:rPr>
          <w:sz w:val="22"/>
          <w:szCs w:val="22"/>
          <w:lang w:val="en-US"/>
        </w:rPr>
      </w:pPr>
    </w:p>
    <w:p w14:paraId="38620108" w14:textId="77777777" w:rsidR="005456DF" w:rsidRPr="0041118B" w:rsidRDefault="005456DF" w:rsidP="00600AA4">
      <w:pPr>
        <w:jc w:val="both"/>
        <w:rPr>
          <w:sz w:val="22"/>
          <w:szCs w:val="22"/>
          <w:lang w:val="en-US"/>
        </w:rPr>
      </w:pPr>
    </w:p>
    <w:p w14:paraId="22CE73A3" w14:textId="77777777" w:rsidR="00600AA4" w:rsidRPr="005456DF" w:rsidRDefault="00600AA4" w:rsidP="00600AA4">
      <w:pPr>
        <w:ind w:firstLine="720"/>
        <w:jc w:val="both"/>
        <w:rPr>
          <w:color w:val="000000"/>
          <w:sz w:val="22"/>
          <w:szCs w:val="22"/>
          <w:lang w:val="en-US"/>
        </w:rPr>
      </w:pPr>
      <w:proofErr w:type="gramStart"/>
      <w:r w:rsidRPr="005456DF">
        <w:rPr>
          <w:color w:val="000000"/>
          <w:sz w:val="22"/>
          <w:szCs w:val="22"/>
          <w:lang w:val="en-US"/>
        </w:rPr>
        <w:t xml:space="preserve">In accordance with the </w:t>
      </w:r>
      <w:hyperlink r:id="rId9" w:history="1">
        <w:r w:rsidRPr="005456DF">
          <w:rPr>
            <w:rStyle w:val="Hyperlink"/>
            <w:sz w:val="22"/>
            <w:szCs w:val="22"/>
            <w:lang w:val="en-US"/>
          </w:rPr>
          <w:t>Statutes of the Development Cooperation Fund (DCF)</w:t>
        </w:r>
      </w:hyperlink>
      <w:r w:rsidRPr="005456DF">
        <w:rPr>
          <w:color w:val="000000"/>
          <w:sz w:val="22"/>
          <w:szCs w:val="22"/>
          <w:lang w:val="en-US"/>
        </w:rPr>
        <w:t xml:space="preserve"> approved by resolution </w:t>
      </w:r>
      <w:hyperlink r:id="rId10" w:history="1">
        <w:r w:rsidRPr="005456DF">
          <w:rPr>
            <w:rStyle w:val="Hyperlink"/>
            <w:sz w:val="22"/>
            <w:szCs w:val="22"/>
            <w:lang w:val="en-US"/>
          </w:rPr>
          <w:t>AG/RES. 2817 (XLIV-O/14)</w:t>
        </w:r>
      </w:hyperlink>
      <w:r w:rsidRPr="005456DF">
        <w:rPr>
          <w:sz w:val="22"/>
          <w:szCs w:val="22"/>
          <w:lang w:val="en-US"/>
        </w:rPr>
        <w:t xml:space="preserve"> of the forty-fourth regular session of the General Assembly, </w:t>
      </w:r>
      <w:r w:rsidRPr="005456DF">
        <w:rPr>
          <w:color w:val="000000"/>
          <w:sz w:val="22"/>
          <w:szCs w:val="22"/>
          <w:lang w:val="en-US"/>
        </w:rPr>
        <w:t>member states must select one Area of Action (main theme) and up to four corresponding programs (under that theme) from the Strategic Plan for Partnership for Development for each program cycle of the Fund.</w:t>
      </w:r>
      <w:proofErr w:type="gramEnd"/>
    </w:p>
    <w:p w14:paraId="653704FC" w14:textId="77777777" w:rsidR="00600AA4" w:rsidRPr="005456DF" w:rsidRDefault="00600AA4" w:rsidP="00600AA4">
      <w:pPr>
        <w:jc w:val="both"/>
        <w:rPr>
          <w:color w:val="000000"/>
          <w:sz w:val="22"/>
          <w:szCs w:val="22"/>
          <w:lang w:val="en-US"/>
        </w:rPr>
      </w:pPr>
    </w:p>
    <w:p w14:paraId="0AC73069" w14:textId="77777777" w:rsidR="00600AA4" w:rsidRPr="005456DF" w:rsidRDefault="00600AA4" w:rsidP="00600AA4">
      <w:pPr>
        <w:ind w:firstLine="720"/>
        <w:jc w:val="both"/>
        <w:rPr>
          <w:rFonts w:eastAsia="Calibri"/>
          <w:sz w:val="22"/>
          <w:szCs w:val="22"/>
          <w:lang w:val="en-US"/>
        </w:rPr>
      </w:pPr>
      <w:r w:rsidRPr="005456DF">
        <w:rPr>
          <w:sz w:val="22"/>
          <w:szCs w:val="22"/>
          <w:lang w:val="en-US"/>
        </w:rPr>
        <w:t xml:space="preserve">At the meeting of the Management Board of the Inter-American Agency for Cooperation and Development (IACD) held on June 16, 2020, delegations emphasized the Board’s responsibility in </w:t>
      </w:r>
      <w:proofErr w:type="gramStart"/>
      <w:r w:rsidRPr="005456DF">
        <w:rPr>
          <w:sz w:val="22"/>
          <w:szCs w:val="22"/>
          <w:lang w:val="en-US"/>
        </w:rPr>
        <w:t>aligning</w:t>
      </w:r>
      <w:proofErr w:type="gramEnd"/>
      <w:r w:rsidRPr="005456DF">
        <w:rPr>
          <w:sz w:val="22"/>
          <w:szCs w:val="22"/>
          <w:lang w:val="en-US"/>
        </w:rPr>
        <w:t xml:space="preserve"> its work with member states’ urgent needs in responding to the COVID-19 pandemic and the post- pandemic period. Following the interventions and deliberations, members of the Management Board approved the Area of Action: </w:t>
      </w:r>
      <w:r w:rsidRPr="005456DF">
        <w:rPr>
          <w:rFonts w:eastAsia="Calibri"/>
          <w:i/>
          <w:iCs/>
          <w:sz w:val="22"/>
          <w:szCs w:val="22"/>
          <w:lang w:val="en-US"/>
        </w:rPr>
        <w:t>“Inclusive Resilience for an Effective Recovery, with a Focus on Science and Technology”</w:t>
      </w:r>
      <w:r w:rsidRPr="005456DF">
        <w:rPr>
          <w:rFonts w:eastAsia="Calibri"/>
          <w:sz w:val="22"/>
          <w:szCs w:val="22"/>
          <w:lang w:val="en-US"/>
        </w:rPr>
        <w:t xml:space="preserve"> for the programming cycle of the OAS Development Cooperation Fund (OAS/DCF) 2021-2024. The next step in the process is the identification of the themes under the Area of Action for final presentation and approval by CIDI. </w:t>
      </w:r>
    </w:p>
    <w:p w14:paraId="1698DF19" w14:textId="1B32FF31" w:rsidR="00600AA4" w:rsidRDefault="00600AA4" w:rsidP="00600AA4">
      <w:pPr>
        <w:ind w:firstLine="720"/>
        <w:jc w:val="both"/>
        <w:rPr>
          <w:sz w:val="22"/>
          <w:szCs w:val="22"/>
          <w:lang w:val="en-US"/>
        </w:rPr>
      </w:pPr>
    </w:p>
    <w:p w14:paraId="6237C4BA" w14:textId="4107857C" w:rsidR="001C423E" w:rsidRDefault="001C423E" w:rsidP="001C423E">
      <w:pPr>
        <w:ind w:firstLine="720"/>
        <w:jc w:val="both"/>
        <w:rPr>
          <w:sz w:val="22"/>
          <w:szCs w:val="22"/>
          <w:lang w:val="en-US"/>
        </w:rPr>
      </w:pPr>
      <w:r w:rsidRPr="00D24D5F">
        <w:rPr>
          <w:sz w:val="22"/>
          <w:szCs w:val="22"/>
          <w:lang w:val="en-US"/>
        </w:rPr>
        <w:lastRenderedPageBreak/>
        <w:t>Resilience, as defined by the UNDRR</w:t>
      </w:r>
      <w:r>
        <w:rPr>
          <w:rStyle w:val="FootnoteReference"/>
          <w:sz w:val="22"/>
          <w:szCs w:val="22"/>
          <w:lang w:val="en-US"/>
        </w:rPr>
        <w:footnoteReference w:id="2"/>
      </w:r>
      <w:r w:rsidRPr="00D24D5F">
        <w:rPr>
          <w:sz w:val="22"/>
          <w:szCs w:val="22"/>
          <w:lang w:val="en-US"/>
        </w:rPr>
        <w:t xml:space="preserve">, refers to the ability of a system, community or society exposed to hazards to resist, absorb, accommodate, adapt to, transform and recover from the effects of a hazard in a timely and efficient manner, including through the preservation and restoration of its essential basic structures and functions through risk management. </w:t>
      </w:r>
      <w:r w:rsidRPr="001C423E">
        <w:rPr>
          <w:sz w:val="22"/>
          <w:szCs w:val="22"/>
          <w:lang w:val="en-US"/>
        </w:rPr>
        <w:t>In the context of the CIDI/OAS, recent discussions held in light of the crisis generated by the COVID-19 pandemic have underscored the need and opportunity for building more resilient economic, social, and environmental systems, rethinking the way the region’s development is planned in pursuit of a more sustainable and equitable future.</w:t>
      </w:r>
    </w:p>
    <w:p w14:paraId="10830CE2" w14:textId="77777777" w:rsidR="001C423E" w:rsidRPr="001C423E" w:rsidRDefault="001C423E" w:rsidP="001C423E">
      <w:pPr>
        <w:ind w:firstLine="720"/>
        <w:jc w:val="both"/>
        <w:rPr>
          <w:sz w:val="22"/>
          <w:szCs w:val="22"/>
          <w:lang w:val="en-US"/>
        </w:rPr>
      </w:pPr>
    </w:p>
    <w:p w14:paraId="0E74BFE4" w14:textId="450A6223" w:rsidR="001C423E" w:rsidRDefault="001C423E" w:rsidP="001C423E">
      <w:pPr>
        <w:ind w:firstLine="720"/>
        <w:jc w:val="both"/>
        <w:rPr>
          <w:sz w:val="22"/>
          <w:szCs w:val="22"/>
          <w:lang w:val="en-US"/>
        </w:rPr>
      </w:pPr>
      <w:r w:rsidRPr="001C423E">
        <w:rPr>
          <w:sz w:val="22"/>
          <w:szCs w:val="22"/>
          <w:lang w:val="en-US"/>
        </w:rPr>
        <w:t>In general terms, and consistent with the OAS Strategic Plan, programs funded and supported by the DCF will be aligned with framework instruments such as the 2030 Agenda and the Sustainable Development Goals (SDGs), the Sendai Framework for Disaster Risk Reduction, among other international instruments endorsed by member states.</w:t>
      </w:r>
    </w:p>
    <w:p w14:paraId="3A639FD3" w14:textId="59BAC8FD" w:rsidR="001C423E" w:rsidRDefault="001C423E" w:rsidP="001C423E">
      <w:pPr>
        <w:ind w:firstLine="720"/>
        <w:jc w:val="both"/>
        <w:rPr>
          <w:sz w:val="22"/>
          <w:szCs w:val="22"/>
          <w:lang w:val="en-US"/>
        </w:rPr>
      </w:pPr>
    </w:p>
    <w:p w14:paraId="7461FF1F" w14:textId="544E5BC0" w:rsidR="00120F4B" w:rsidRPr="0041118B" w:rsidRDefault="00120F4B" w:rsidP="00120F4B">
      <w:pPr>
        <w:ind w:firstLine="720"/>
        <w:jc w:val="both"/>
        <w:rPr>
          <w:sz w:val="22"/>
          <w:szCs w:val="22"/>
          <w:highlight w:val="yellow"/>
          <w:lang w:val="en-US"/>
        </w:rPr>
      </w:pPr>
    </w:p>
    <w:p w14:paraId="6E85308F" w14:textId="77777777" w:rsidR="00120F4B" w:rsidRPr="0041118B" w:rsidRDefault="00120F4B" w:rsidP="00120F4B">
      <w:pPr>
        <w:ind w:firstLine="720"/>
        <w:jc w:val="both"/>
        <w:rPr>
          <w:sz w:val="22"/>
          <w:szCs w:val="22"/>
          <w:highlight w:val="yellow"/>
          <w:lang w:val="en-US"/>
        </w:rPr>
      </w:pPr>
    </w:p>
    <w:p w14:paraId="06A4D829" w14:textId="17206210" w:rsidR="00120F4B" w:rsidRPr="0041118B" w:rsidRDefault="00120F4B" w:rsidP="00120F4B">
      <w:pPr>
        <w:ind w:firstLine="720"/>
        <w:jc w:val="both"/>
        <w:rPr>
          <w:sz w:val="22"/>
          <w:szCs w:val="22"/>
          <w:lang w:val="en-US"/>
        </w:rPr>
      </w:pPr>
    </w:p>
    <w:p w14:paraId="6DBD6F91" w14:textId="77777777" w:rsidR="00120F4B" w:rsidRPr="0041118B" w:rsidRDefault="00120F4B" w:rsidP="001C423E">
      <w:pPr>
        <w:ind w:firstLine="720"/>
        <w:jc w:val="both"/>
        <w:rPr>
          <w:sz w:val="22"/>
          <w:szCs w:val="22"/>
          <w:lang w:val="en-US"/>
        </w:rPr>
      </w:pPr>
    </w:p>
    <w:p w14:paraId="01B38958" w14:textId="77777777" w:rsidR="00600AA4" w:rsidRPr="005456DF" w:rsidRDefault="00600AA4" w:rsidP="00600AA4">
      <w:pPr>
        <w:ind w:firstLine="720"/>
        <w:jc w:val="both"/>
        <w:rPr>
          <w:sz w:val="22"/>
          <w:szCs w:val="22"/>
          <w:lang w:val="en-US"/>
        </w:rPr>
      </w:pPr>
      <w:r w:rsidRPr="005456DF">
        <w:rPr>
          <w:sz w:val="22"/>
          <w:szCs w:val="22"/>
          <w:lang w:val="en-US"/>
        </w:rPr>
        <w:t xml:space="preserve">Pursuant to the above, the Secretariat has identified the following program themes to initiate the discussion and agreement among member states: </w:t>
      </w:r>
    </w:p>
    <w:p w14:paraId="5FA89E7A" w14:textId="77777777" w:rsidR="00600AA4" w:rsidRPr="005456DF" w:rsidRDefault="00600AA4" w:rsidP="00600AA4">
      <w:pPr>
        <w:ind w:left="720" w:hanging="720"/>
        <w:jc w:val="both"/>
        <w:rPr>
          <w:color w:val="000000"/>
          <w:sz w:val="22"/>
          <w:szCs w:val="22"/>
          <w:lang w:val="en-US"/>
        </w:rPr>
      </w:pPr>
    </w:p>
    <w:p w14:paraId="62D4A049" w14:textId="77777777" w:rsidR="00600AA4" w:rsidRPr="005456DF" w:rsidRDefault="00600AA4" w:rsidP="00600AA4">
      <w:pPr>
        <w:numPr>
          <w:ilvl w:val="0"/>
          <w:numId w:val="23"/>
        </w:numPr>
        <w:jc w:val="both"/>
        <w:rPr>
          <w:color w:val="000000"/>
          <w:sz w:val="22"/>
          <w:szCs w:val="22"/>
          <w:lang w:val="en-US"/>
        </w:rPr>
      </w:pPr>
      <w:r w:rsidRPr="005456DF">
        <w:rPr>
          <w:color w:val="000000"/>
          <w:sz w:val="22"/>
          <w:szCs w:val="22"/>
          <w:lang w:val="en-US"/>
        </w:rPr>
        <w:t>Retooling MSMEs through innovation and technology</w:t>
      </w:r>
    </w:p>
    <w:p w14:paraId="12160BEE" w14:textId="4987B21D" w:rsidR="00600AA4" w:rsidRPr="005456DF" w:rsidRDefault="00600AA4" w:rsidP="00600AA4">
      <w:pPr>
        <w:numPr>
          <w:ilvl w:val="0"/>
          <w:numId w:val="23"/>
        </w:numPr>
        <w:jc w:val="both"/>
        <w:rPr>
          <w:color w:val="000000"/>
          <w:sz w:val="22"/>
          <w:szCs w:val="22"/>
          <w:lang w:val="en-US"/>
        </w:rPr>
      </w:pPr>
      <w:r w:rsidRPr="005456DF">
        <w:rPr>
          <w:color w:val="000000"/>
          <w:sz w:val="22"/>
          <w:szCs w:val="22"/>
          <w:lang w:val="en-US"/>
        </w:rPr>
        <w:t xml:space="preserve">Innovative Reskilling for Tourism sector recovery </w:t>
      </w:r>
      <w:r w:rsidR="00F42F7D">
        <w:rPr>
          <w:color w:val="000000"/>
          <w:sz w:val="22"/>
          <w:szCs w:val="22"/>
          <w:lang w:val="en-US"/>
        </w:rPr>
        <w:t>and regional economies</w:t>
      </w:r>
    </w:p>
    <w:p w14:paraId="72D46327" w14:textId="77777777" w:rsidR="00600AA4" w:rsidRPr="005456DF" w:rsidRDefault="00600AA4" w:rsidP="00600AA4">
      <w:pPr>
        <w:numPr>
          <w:ilvl w:val="0"/>
          <w:numId w:val="23"/>
        </w:numPr>
        <w:jc w:val="both"/>
        <w:rPr>
          <w:color w:val="000000"/>
          <w:sz w:val="22"/>
          <w:szCs w:val="22"/>
          <w:lang w:val="en-US"/>
        </w:rPr>
      </w:pPr>
      <w:r w:rsidRPr="005456DF">
        <w:rPr>
          <w:bCs/>
          <w:sz w:val="22"/>
          <w:szCs w:val="22"/>
          <w:lang w:val="en-US"/>
        </w:rPr>
        <w:t>Scientific and technological innovation for building resilience</w:t>
      </w:r>
    </w:p>
    <w:p w14:paraId="58ECCA20" w14:textId="77777777" w:rsidR="00600AA4" w:rsidRPr="005456DF" w:rsidRDefault="00600AA4" w:rsidP="00600AA4">
      <w:pPr>
        <w:numPr>
          <w:ilvl w:val="0"/>
          <w:numId w:val="23"/>
        </w:numPr>
        <w:jc w:val="both"/>
        <w:rPr>
          <w:color w:val="000000"/>
          <w:sz w:val="22"/>
          <w:szCs w:val="22"/>
          <w:lang w:val="en-US"/>
        </w:rPr>
      </w:pPr>
      <w:r w:rsidRPr="005456DF">
        <w:rPr>
          <w:bCs/>
          <w:sz w:val="22"/>
          <w:szCs w:val="22"/>
          <w:lang w:val="en-US"/>
        </w:rPr>
        <w:t xml:space="preserve">Science for decision making in disaster risk planning </w:t>
      </w:r>
    </w:p>
    <w:p w14:paraId="0F130A51" w14:textId="6E54931D" w:rsidR="00600AA4" w:rsidRDefault="00600AA4" w:rsidP="00600AA4">
      <w:pPr>
        <w:jc w:val="both"/>
        <w:rPr>
          <w:color w:val="000000"/>
          <w:sz w:val="22"/>
          <w:szCs w:val="22"/>
          <w:lang w:val="en-US"/>
        </w:rPr>
      </w:pPr>
    </w:p>
    <w:p w14:paraId="687F6CFC" w14:textId="77777777" w:rsidR="00600AA4" w:rsidRPr="005456DF" w:rsidRDefault="00600AA4" w:rsidP="00600AA4">
      <w:pPr>
        <w:jc w:val="both"/>
        <w:rPr>
          <w:color w:val="000000"/>
          <w:sz w:val="22"/>
          <w:szCs w:val="22"/>
          <w:lang w:val="en-US"/>
        </w:rPr>
      </w:pPr>
    </w:p>
    <w:p w14:paraId="7B84FC26" w14:textId="77777777" w:rsidR="00600AA4" w:rsidRPr="005456DF" w:rsidRDefault="00600AA4" w:rsidP="00600AA4">
      <w:pPr>
        <w:numPr>
          <w:ilvl w:val="0"/>
          <w:numId w:val="24"/>
        </w:numPr>
        <w:jc w:val="both"/>
        <w:rPr>
          <w:b/>
          <w:color w:val="000000"/>
          <w:sz w:val="22"/>
          <w:szCs w:val="22"/>
          <w:lang w:val="en-US"/>
        </w:rPr>
      </w:pPr>
      <w:r w:rsidRPr="005456DF">
        <w:rPr>
          <w:b/>
          <w:color w:val="000000"/>
          <w:sz w:val="22"/>
          <w:szCs w:val="22"/>
          <w:lang w:val="en-US"/>
        </w:rPr>
        <w:t>Retooling MSMEs through innovation and technology:</w:t>
      </w:r>
    </w:p>
    <w:p w14:paraId="37CA40A1" w14:textId="77777777" w:rsidR="00600AA4" w:rsidRPr="005456DF" w:rsidRDefault="00600AA4" w:rsidP="00600AA4">
      <w:pPr>
        <w:jc w:val="both"/>
        <w:rPr>
          <w:color w:val="000000"/>
          <w:sz w:val="22"/>
          <w:szCs w:val="22"/>
          <w:lang w:val="en-US"/>
        </w:rPr>
      </w:pPr>
    </w:p>
    <w:p w14:paraId="651E4005" w14:textId="77777777" w:rsidR="00600AA4" w:rsidRPr="005456DF" w:rsidRDefault="00600AA4" w:rsidP="00600AA4">
      <w:pPr>
        <w:ind w:firstLine="720"/>
        <w:jc w:val="both"/>
        <w:rPr>
          <w:sz w:val="22"/>
          <w:szCs w:val="22"/>
          <w:lang w:val="en-US"/>
        </w:rPr>
      </w:pPr>
      <w:r w:rsidRPr="005456DF">
        <w:rPr>
          <w:sz w:val="22"/>
          <w:szCs w:val="22"/>
          <w:lang w:val="en-US"/>
        </w:rPr>
        <w:lastRenderedPageBreak/>
        <w:t xml:space="preserve">It is estimated that </w:t>
      </w:r>
      <w:proofErr w:type="gramStart"/>
      <w:r w:rsidRPr="005456DF">
        <w:rPr>
          <w:sz w:val="22"/>
          <w:szCs w:val="22"/>
          <w:lang w:val="en-US"/>
        </w:rPr>
        <w:t>as a result</w:t>
      </w:r>
      <w:proofErr w:type="gramEnd"/>
      <w:r w:rsidRPr="005456DF">
        <w:rPr>
          <w:sz w:val="22"/>
          <w:szCs w:val="22"/>
          <w:lang w:val="en-US"/>
        </w:rPr>
        <w:t xml:space="preserve"> of the crisis generated by the COVID-19 pandemic, Latin America and the Caribbean will suffer one of the worst recessions in its history, threatening the development gains of the past two decades and intensifying social challenges. A recent ECLAC study</w:t>
      </w:r>
      <w:r w:rsidRPr="009413C0">
        <w:rPr>
          <w:sz w:val="22"/>
          <w:szCs w:val="22"/>
          <w:u w:val="single"/>
          <w:vertAlign w:val="superscript"/>
        </w:rPr>
        <w:footnoteReference w:id="3"/>
      </w:r>
      <w:r w:rsidRPr="005456DF">
        <w:rPr>
          <w:sz w:val="22"/>
          <w:szCs w:val="22"/>
          <w:lang w:val="en-US"/>
        </w:rPr>
        <w:t xml:space="preserve"> estimates that in 2020, the region’s GDP will decline as much as 9.1%.; the number of people living in poverty will increase to 45.4 million (37.3% of the region’s population), and the unemployment rate will reach 13.5% in 2020</w:t>
      </w:r>
      <w:r w:rsidRPr="005456DF">
        <w:rPr>
          <w:b/>
          <w:bCs/>
          <w:sz w:val="22"/>
          <w:szCs w:val="22"/>
          <w:lang w:val="en-US"/>
        </w:rPr>
        <w:t>.</w:t>
      </w:r>
    </w:p>
    <w:p w14:paraId="548AF05C" w14:textId="77777777" w:rsidR="00600AA4" w:rsidRPr="005456DF" w:rsidRDefault="00600AA4" w:rsidP="00600AA4">
      <w:pPr>
        <w:ind w:firstLine="720"/>
        <w:jc w:val="both"/>
        <w:rPr>
          <w:sz w:val="22"/>
          <w:szCs w:val="22"/>
          <w:lang w:val="en-US"/>
        </w:rPr>
      </w:pPr>
    </w:p>
    <w:p w14:paraId="7133CC84" w14:textId="35E33496" w:rsidR="00600AA4" w:rsidRPr="005456DF" w:rsidRDefault="00600AA4" w:rsidP="00600AA4">
      <w:pPr>
        <w:ind w:firstLine="720"/>
        <w:jc w:val="both"/>
        <w:rPr>
          <w:sz w:val="22"/>
          <w:szCs w:val="22"/>
          <w:lang w:val="en-US"/>
        </w:rPr>
      </w:pPr>
      <w:r w:rsidRPr="005456DF">
        <w:rPr>
          <w:sz w:val="22"/>
          <w:szCs w:val="22"/>
          <w:lang w:val="en-US"/>
        </w:rPr>
        <w:t xml:space="preserve">As Member States’ post-COVID recovery efforts focus on reactivating the economy while addressing social challenges, support for micro, small and medium-sized enterprises (MSMEs) -- which comprise 99% of all businesses and employ 75% of all workers in OAS member states -- is essential. Despite accounting for the bulk of the industrial fabric and creating most jobs, MSME productivity and participation in export markets </w:t>
      </w:r>
      <w:proofErr w:type="gramStart"/>
      <w:r w:rsidRPr="005456DF">
        <w:rPr>
          <w:sz w:val="22"/>
          <w:szCs w:val="22"/>
          <w:lang w:val="en-US"/>
        </w:rPr>
        <w:t>is extremely low compared</w:t>
      </w:r>
      <w:proofErr w:type="gramEnd"/>
      <w:r w:rsidRPr="005456DF">
        <w:rPr>
          <w:sz w:val="22"/>
          <w:szCs w:val="22"/>
          <w:lang w:val="en-US"/>
        </w:rPr>
        <w:t xml:space="preserve"> with that of large companies. To redress this situation, the region must retool MSMEs through programs that stimulate adoption and use of innovation and technology, including the use of Information and Communication Technologies (ICTs) and increased participation in e-commerce, as a critical sales channel in the pandemic and post pandemic era.</w:t>
      </w:r>
      <w:r w:rsidR="008F5354">
        <w:rPr>
          <w:sz w:val="22"/>
          <w:szCs w:val="22"/>
          <w:lang w:val="en-US"/>
        </w:rPr>
        <w:t xml:space="preserve"> </w:t>
      </w:r>
    </w:p>
    <w:p w14:paraId="6B39CEA6" w14:textId="77777777" w:rsidR="00600AA4" w:rsidRPr="005456DF" w:rsidRDefault="00600AA4" w:rsidP="00600AA4">
      <w:pPr>
        <w:ind w:firstLine="720"/>
        <w:jc w:val="both"/>
        <w:rPr>
          <w:sz w:val="22"/>
          <w:szCs w:val="22"/>
          <w:lang w:val="en-US"/>
        </w:rPr>
      </w:pPr>
    </w:p>
    <w:p w14:paraId="23B9A952" w14:textId="57F3F1E8" w:rsidR="00600AA4" w:rsidRPr="005456DF" w:rsidRDefault="00600AA4" w:rsidP="00600AA4">
      <w:pPr>
        <w:ind w:firstLine="720"/>
        <w:jc w:val="both"/>
        <w:rPr>
          <w:sz w:val="22"/>
          <w:szCs w:val="22"/>
          <w:lang w:val="en-US"/>
        </w:rPr>
      </w:pPr>
      <w:r w:rsidRPr="005456DF">
        <w:rPr>
          <w:sz w:val="22"/>
          <w:szCs w:val="22"/>
          <w:lang w:val="en-US"/>
        </w:rPr>
        <w:t>Productive and competitive MSMEs also holds the promise of improving the labor conditions of the workforce, which is paramount for social cohesion. According to IDB</w:t>
      </w:r>
      <w:r>
        <w:rPr>
          <w:rStyle w:val="FootnoteReference"/>
          <w:sz w:val="22"/>
          <w:szCs w:val="22"/>
        </w:rPr>
        <w:footnoteReference w:id="4"/>
      </w:r>
      <w:r w:rsidRPr="005456DF">
        <w:rPr>
          <w:sz w:val="22"/>
          <w:szCs w:val="22"/>
          <w:lang w:val="en-US"/>
        </w:rPr>
        <w:t xml:space="preserve"> estimates, about half the population of Latin America works in the informal economy, depend on daily wages, and are outside of social protection systems. This leaves a large proportion of the population particularly exposed and vulnerable to economic shocks such as the one unleashed by the pandemic and potential natural disasters.</w:t>
      </w:r>
      <w:r w:rsidR="007D5EFE">
        <w:rPr>
          <w:sz w:val="22"/>
          <w:szCs w:val="22"/>
          <w:lang w:val="en-US"/>
        </w:rPr>
        <w:t xml:space="preserve"> </w:t>
      </w:r>
      <w:r w:rsidR="007D5EFE" w:rsidRPr="007D5EFE">
        <w:rPr>
          <w:sz w:val="22"/>
          <w:szCs w:val="22"/>
          <w:lang w:val="en-US"/>
        </w:rPr>
        <w:t>Formalization initiatives are thus imperative to create more and better jobs, reduce poverty and address the marginalization of those who are especially vulnerable to decent work deficits in the informal economy.</w:t>
      </w:r>
    </w:p>
    <w:p w14:paraId="5AA9BBA8" w14:textId="77777777" w:rsidR="00D24D5F" w:rsidRPr="0041118B" w:rsidRDefault="00D24D5F" w:rsidP="00600AA4">
      <w:pPr>
        <w:ind w:firstLine="720"/>
        <w:jc w:val="both"/>
        <w:rPr>
          <w:sz w:val="22"/>
          <w:szCs w:val="22"/>
          <w:lang w:val="en-US"/>
        </w:rPr>
      </w:pPr>
    </w:p>
    <w:p w14:paraId="62FAE60E" w14:textId="66B61F20" w:rsidR="00600AA4" w:rsidRDefault="00600AA4" w:rsidP="00600AA4">
      <w:pPr>
        <w:ind w:firstLine="720"/>
        <w:jc w:val="both"/>
        <w:rPr>
          <w:sz w:val="22"/>
          <w:szCs w:val="22"/>
          <w:lang w:val="en-US"/>
        </w:rPr>
      </w:pPr>
      <w:r w:rsidRPr="005456DF">
        <w:rPr>
          <w:sz w:val="22"/>
          <w:szCs w:val="22"/>
          <w:lang w:val="en-US"/>
        </w:rPr>
        <w:t xml:space="preserve">Not surprisingly, the sector has long been a priority for member states and for the work of the OAS/SEDI. Given the heterogeneity of member states, there is rich experience on policies </w:t>
      </w:r>
      <w:r w:rsidRPr="005456DF">
        <w:rPr>
          <w:sz w:val="22"/>
          <w:szCs w:val="22"/>
          <w:lang w:val="en-US"/>
        </w:rPr>
        <w:lastRenderedPageBreak/>
        <w:t xml:space="preserve">and programs to support MSMEs, and great potential for cross-fertilization and regional cooperation in this area to drive recovery efforts. </w:t>
      </w:r>
      <w:r w:rsidR="008F5354">
        <w:rPr>
          <w:sz w:val="22"/>
          <w:szCs w:val="22"/>
          <w:lang w:val="en-US"/>
        </w:rPr>
        <w:t xml:space="preserve">The OAS </w:t>
      </w:r>
      <w:proofErr w:type="spellStart"/>
      <w:r w:rsidR="008F5354">
        <w:rPr>
          <w:sz w:val="22"/>
          <w:szCs w:val="22"/>
          <w:lang w:val="en-US"/>
        </w:rPr>
        <w:t>endeavours</w:t>
      </w:r>
      <w:proofErr w:type="spellEnd"/>
      <w:r w:rsidR="008F5354">
        <w:rPr>
          <w:sz w:val="22"/>
          <w:szCs w:val="22"/>
          <w:lang w:val="en-US"/>
        </w:rPr>
        <w:t xml:space="preserve"> to continue to support MSMEs through hemispheric initiatives such as the MSME </w:t>
      </w:r>
      <w:proofErr w:type="spellStart"/>
      <w:r w:rsidR="008F5354">
        <w:rPr>
          <w:sz w:val="22"/>
          <w:szCs w:val="22"/>
          <w:lang w:val="en-US"/>
        </w:rPr>
        <w:t>Digitisation</w:t>
      </w:r>
      <w:proofErr w:type="spellEnd"/>
      <w:r w:rsidR="008F5354">
        <w:rPr>
          <w:sz w:val="22"/>
          <w:szCs w:val="22"/>
          <w:lang w:val="en-US"/>
        </w:rPr>
        <w:t xml:space="preserve"> Plan</w:t>
      </w:r>
      <w:r w:rsidR="007D5EFE" w:rsidRPr="007D5EFE">
        <w:rPr>
          <w:sz w:val="22"/>
          <w:szCs w:val="22"/>
          <w:lang w:val="en-US"/>
        </w:rPr>
        <w:t xml:space="preserve">, recognizing that each member state has unique challenges in terms of levels </w:t>
      </w:r>
      <w:proofErr w:type="gramStart"/>
      <w:r w:rsidR="007D5EFE" w:rsidRPr="007D5EFE">
        <w:rPr>
          <w:sz w:val="22"/>
          <w:szCs w:val="22"/>
          <w:lang w:val="en-US"/>
        </w:rPr>
        <w:t>of  informality</w:t>
      </w:r>
      <w:proofErr w:type="gramEnd"/>
      <w:r w:rsidR="007D5EFE" w:rsidRPr="007D5EFE">
        <w:rPr>
          <w:sz w:val="22"/>
          <w:szCs w:val="22"/>
          <w:lang w:val="en-US"/>
        </w:rPr>
        <w:t xml:space="preserve"> of the MSME sector, available legal regulations and financial instruments and other infrastructure to facilitate innovation, as well as the adoption of</w:t>
      </w:r>
      <w:r w:rsidR="00FA01B1">
        <w:rPr>
          <w:sz w:val="22"/>
          <w:szCs w:val="22"/>
          <w:lang w:val="en-US"/>
        </w:rPr>
        <w:t xml:space="preserve"> technology and e-Commerce.</w:t>
      </w:r>
    </w:p>
    <w:p w14:paraId="4E58A258" w14:textId="77777777" w:rsidR="006A3B34" w:rsidRDefault="006A3B34" w:rsidP="00600AA4">
      <w:pPr>
        <w:ind w:firstLine="720"/>
        <w:jc w:val="both"/>
        <w:rPr>
          <w:sz w:val="22"/>
          <w:szCs w:val="22"/>
          <w:lang w:val="en-US"/>
        </w:rPr>
      </w:pPr>
    </w:p>
    <w:p w14:paraId="15C61265" w14:textId="5538DEF2" w:rsidR="006660D3" w:rsidRDefault="006660D3" w:rsidP="0065063E">
      <w:pPr>
        <w:ind w:firstLine="720"/>
        <w:jc w:val="both"/>
        <w:rPr>
          <w:sz w:val="22"/>
          <w:szCs w:val="22"/>
          <w:lang w:val="en-US"/>
        </w:rPr>
      </w:pPr>
      <w:r>
        <w:rPr>
          <w:sz w:val="22"/>
          <w:szCs w:val="22"/>
          <w:lang w:val="en-US"/>
        </w:rPr>
        <w:t>The following areas of focus are proposed:</w:t>
      </w:r>
    </w:p>
    <w:p w14:paraId="12B7289B" w14:textId="77777777" w:rsidR="006660D3" w:rsidRPr="006660D3" w:rsidRDefault="006660D3" w:rsidP="006660D3">
      <w:pPr>
        <w:ind w:firstLine="720"/>
        <w:jc w:val="both"/>
        <w:rPr>
          <w:sz w:val="22"/>
          <w:szCs w:val="22"/>
          <w:lang w:val="en-US"/>
        </w:rPr>
      </w:pPr>
    </w:p>
    <w:p w14:paraId="179D84B3" w14:textId="2ADF6E48" w:rsidR="006660D3" w:rsidRDefault="006660D3" w:rsidP="009271BC">
      <w:pPr>
        <w:pStyle w:val="ListParagraph"/>
        <w:numPr>
          <w:ilvl w:val="0"/>
          <w:numId w:val="27"/>
        </w:numPr>
        <w:ind w:left="720"/>
        <w:jc w:val="both"/>
        <w:rPr>
          <w:sz w:val="22"/>
          <w:szCs w:val="22"/>
        </w:rPr>
      </w:pPr>
      <w:r w:rsidRPr="006660D3">
        <w:rPr>
          <w:sz w:val="22"/>
          <w:szCs w:val="22"/>
        </w:rPr>
        <w:t>Programs to strengthen MSME digitization processes, such as:</w:t>
      </w:r>
    </w:p>
    <w:p w14:paraId="73D50515" w14:textId="77777777" w:rsidR="00FA01B1" w:rsidRPr="006660D3" w:rsidRDefault="00FA01B1" w:rsidP="00FA01B1">
      <w:pPr>
        <w:pStyle w:val="ListParagraph"/>
        <w:jc w:val="both"/>
        <w:rPr>
          <w:sz w:val="22"/>
          <w:szCs w:val="22"/>
        </w:rPr>
      </w:pPr>
    </w:p>
    <w:p w14:paraId="0CE4769D" w14:textId="01CDDB49" w:rsidR="006660D3" w:rsidRPr="0065063E" w:rsidRDefault="00F57ACE" w:rsidP="0065063E">
      <w:pPr>
        <w:pStyle w:val="ListParagraph"/>
        <w:numPr>
          <w:ilvl w:val="1"/>
          <w:numId w:val="29"/>
        </w:numPr>
        <w:tabs>
          <w:tab w:val="left" w:pos="1440"/>
        </w:tabs>
        <w:ind w:left="1080"/>
        <w:jc w:val="both"/>
        <w:rPr>
          <w:sz w:val="22"/>
          <w:szCs w:val="22"/>
        </w:rPr>
      </w:pPr>
      <w:r>
        <w:rPr>
          <w:sz w:val="22"/>
          <w:szCs w:val="22"/>
        </w:rPr>
        <w:t>E</w:t>
      </w:r>
      <w:r w:rsidR="00E95292" w:rsidRPr="0065063E">
        <w:rPr>
          <w:sz w:val="22"/>
          <w:szCs w:val="22"/>
        </w:rPr>
        <w:t>xchange of experiences and good practices among Member States.</w:t>
      </w:r>
    </w:p>
    <w:p w14:paraId="34AAFE0D" w14:textId="200EFE98" w:rsidR="006660D3" w:rsidRDefault="006660D3" w:rsidP="009271BC">
      <w:pPr>
        <w:pStyle w:val="ListParagraph"/>
        <w:numPr>
          <w:ilvl w:val="1"/>
          <w:numId w:val="29"/>
        </w:numPr>
        <w:tabs>
          <w:tab w:val="left" w:pos="1440"/>
        </w:tabs>
        <w:ind w:left="1080"/>
        <w:jc w:val="both"/>
        <w:rPr>
          <w:sz w:val="22"/>
          <w:szCs w:val="22"/>
        </w:rPr>
      </w:pPr>
      <w:r w:rsidRPr="006660D3">
        <w:rPr>
          <w:sz w:val="22"/>
          <w:szCs w:val="22"/>
        </w:rPr>
        <w:t xml:space="preserve">Linkage with </w:t>
      </w:r>
      <w:r w:rsidR="00E95292">
        <w:rPr>
          <w:sz w:val="22"/>
          <w:szCs w:val="22"/>
        </w:rPr>
        <w:t>e</w:t>
      </w:r>
      <w:r w:rsidRPr="006660D3">
        <w:rPr>
          <w:sz w:val="22"/>
          <w:szCs w:val="22"/>
        </w:rPr>
        <w:t>-commerce platforms to promote and sell local products</w:t>
      </w:r>
      <w:r>
        <w:rPr>
          <w:sz w:val="22"/>
          <w:szCs w:val="22"/>
        </w:rPr>
        <w:t>.</w:t>
      </w:r>
    </w:p>
    <w:p w14:paraId="61CE5A80" w14:textId="77777777" w:rsidR="0065063E" w:rsidRDefault="006660D3" w:rsidP="0065063E">
      <w:pPr>
        <w:pStyle w:val="ListParagraph"/>
        <w:numPr>
          <w:ilvl w:val="1"/>
          <w:numId w:val="29"/>
        </w:numPr>
        <w:tabs>
          <w:tab w:val="left" w:pos="1440"/>
        </w:tabs>
        <w:ind w:left="1080"/>
        <w:jc w:val="both"/>
        <w:rPr>
          <w:sz w:val="22"/>
          <w:szCs w:val="22"/>
        </w:rPr>
      </w:pPr>
      <w:r w:rsidRPr="006660D3">
        <w:rPr>
          <w:sz w:val="22"/>
          <w:szCs w:val="22"/>
        </w:rPr>
        <w:t>Digital skills to promote local entrepreneurship initiatives</w:t>
      </w:r>
      <w:r w:rsidR="00E95292">
        <w:rPr>
          <w:sz w:val="22"/>
          <w:szCs w:val="22"/>
        </w:rPr>
        <w:t>.</w:t>
      </w:r>
      <w:r w:rsidR="0065063E" w:rsidRPr="0065063E">
        <w:rPr>
          <w:sz w:val="22"/>
          <w:szCs w:val="22"/>
        </w:rPr>
        <w:t xml:space="preserve"> </w:t>
      </w:r>
    </w:p>
    <w:p w14:paraId="68EFB30F" w14:textId="71298B35" w:rsidR="0065063E" w:rsidRDefault="0065063E" w:rsidP="0065063E">
      <w:pPr>
        <w:pStyle w:val="ListParagraph"/>
        <w:numPr>
          <w:ilvl w:val="1"/>
          <w:numId w:val="29"/>
        </w:numPr>
        <w:tabs>
          <w:tab w:val="left" w:pos="1440"/>
        </w:tabs>
        <w:ind w:left="1080"/>
        <w:jc w:val="both"/>
        <w:rPr>
          <w:sz w:val="22"/>
          <w:szCs w:val="22"/>
        </w:rPr>
      </w:pPr>
      <w:r w:rsidRPr="00213BD4">
        <w:rPr>
          <w:sz w:val="22"/>
          <w:szCs w:val="22"/>
        </w:rPr>
        <w:t>Strengthening of local neighborhood shops, implementing technological processes to sal</w:t>
      </w:r>
      <w:r>
        <w:rPr>
          <w:sz w:val="22"/>
          <w:szCs w:val="22"/>
        </w:rPr>
        <w:t xml:space="preserve">e and </w:t>
      </w:r>
      <w:r w:rsidRPr="00213BD4">
        <w:rPr>
          <w:sz w:val="22"/>
          <w:szCs w:val="22"/>
        </w:rPr>
        <w:t>collect</w:t>
      </w:r>
      <w:r>
        <w:rPr>
          <w:sz w:val="22"/>
          <w:szCs w:val="22"/>
        </w:rPr>
        <w:t xml:space="preserve"> payments </w:t>
      </w:r>
      <w:proofErr w:type="gramStart"/>
      <w:r w:rsidRPr="00213BD4">
        <w:rPr>
          <w:sz w:val="22"/>
          <w:szCs w:val="22"/>
        </w:rPr>
        <w:t xml:space="preserve">through digital means and </w:t>
      </w:r>
      <w:r>
        <w:rPr>
          <w:sz w:val="22"/>
          <w:szCs w:val="22"/>
        </w:rPr>
        <w:t xml:space="preserve">to </w:t>
      </w:r>
      <w:r w:rsidRPr="00213BD4">
        <w:rPr>
          <w:sz w:val="22"/>
          <w:szCs w:val="22"/>
        </w:rPr>
        <w:t>deliver merchandise at home</w:t>
      </w:r>
      <w:proofErr w:type="gramEnd"/>
      <w:r w:rsidRPr="00213BD4">
        <w:rPr>
          <w:sz w:val="22"/>
          <w:szCs w:val="22"/>
        </w:rPr>
        <w:t>.</w:t>
      </w:r>
    </w:p>
    <w:p w14:paraId="4E30FD80" w14:textId="77777777" w:rsidR="00FA01B1" w:rsidRPr="00213BD4" w:rsidRDefault="00FA01B1" w:rsidP="00FA01B1">
      <w:pPr>
        <w:pStyle w:val="ListParagraph"/>
        <w:tabs>
          <w:tab w:val="left" w:pos="1440"/>
        </w:tabs>
        <w:ind w:left="1080"/>
        <w:jc w:val="both"/>
        <w:rPr>
          <w:sz w:val="22"/>
          <w:szCs w:val="22"/>
        </w:rPr>
      </w:pPr>
    </w:p>
    <w:p w14:paraId="1E0619BF" w14:textId="03E5B636" w:rsidR="00E95292" w:rsidRDefault="006660D3" w:rsidP="009271BC">
      <w:pPr>
        <w:pStyle w:val="ListParagraph"/>
        <w:numPr>
          <w:ilvl w:val="0"/>
          <w:numId w:val="27"/>
        </w:numPr>
        <w:ind w:left="720"/>
        <w:jc w:val="both"/>
        <w:rPr>
          <w:sz w:val="22"/>
          <w:szCs w:val="22"/>
        </w:rPr>
      </w:pPr>
      <w:r w:rsidRPr="006660D3">
        <w:rPr>
          <w:sz w:val="22"/>
          <w:szCs w:val="22"/>
        </w:rPr>
        <w:t>Strategies to reactivate MSME</w:t>
      </w:r>
      <w:r w:rsidR="00E95292">
        <w:rPr>
          <w:sz w:val="22"/>
          <w:szCs w:val="22"/>
        </w:rPr>
        <w:t>s</w:t>
      </w:r>
      <w:r w:rsidRPr="006660D3">
        <w:rPr>
          <w:sz w:val="22"/>
          <w:szCs w:val="22"/>
        </w:rPr>
        <w:t xml:space="preserve"> to reduce unemployment</w:t>
      </w:r>
      <w:r w:rsidR="00E95292">
        <w:rPr>
          <w:sz w:val="22"/>
          <w:szCs w:val="22"/>
        </w:rPr>
        <w:t>:</w:t>
      </w:r>
      <w:r w:rsidRPr="006660D3">
        <w:rPr>
          <w:sz w:val="22"/>
          <w:szCs w:val="22"/>
        </w:rPr>
        <w:t xml:space="preserve"> </w:t>
      </w:r>
    </w:p>
    <w:p w14:paraId="4879EF8A" w14:textId="77777777" w:rsidR="00FA01B1" w:rsidRDefault="00FA01B1" w:rsidP="00FA01B1">
      <w:pPr>
        <w:pStyle w:val="ListParagraph"/>
        <w:jc w:val="both"/>
        <w:rPr>
          <w:sz w:val="22"/>
          <w:szCs w:val="22"/>
        </w:rPr>
      </w:pPr>
    </w:p>
    <w:p w14:paraId="20F922BA" w14:textId="203B3910" w:rsidR="00E95292" w:rsidRDefault="00E95292" w:rsidP="00E95292">
      <w:pPr>
        <w:pStyle w:val="ListParagraph"/>
        <w:numPr>
          <w:ilvl w:val="1"/>
          <w:numId w:val="29"/>
        </w:numPr>
        <w:tabs>
          <w:tab w:val="left" w:pos="1440"/>
        </w:tabs>
        <w:ind w:left="1080"/>
        <w:jc w:val="both"/>
        <w:rPr>
          <w:sz w:val="22"/>
          <w:szCs w:val="22"/>
        </w:rPr>
      </w:pPr>
      <w:r w:rsidRPr="006660D3">
        <w:rPr>
          <w:sz w:val="22"/>
          <w:szCs w:val="22"/>
        </w:rPr>
        <w:t xml:space="preserve">Training and technical assistance </w:t>
      </w:r>
      <w:r>
        <w:rPr>
          <w:sz w:val="22"/>
          <w:szCs w:val="22"/>
        </w:rPr>
        <w:t>i</w:t>
      </w:r>
      <w:r w:rsidRPr="006660D3">
        <w:rPr>
          <w:sz w:val="22"/>
          <w:szCs w:val="22"/>
        </w:rPr>
        <w:t>nitiatives to strengthen existing companies and startups.</w:t>
      </w:r>
    </w:p>
    <w:p w14:paraId="3E3A6366" w14:textId="3D913BA4" w:rsidR="00E95292" w:rsidRPr="006660D3" w:rsidRDefault="00E95292" w:rsidP="00E95292">
      <w:pPr>
        <w:pStyle w:val="ListParagraph"/>
        <w:numPr>
          <w:ilvl w:val="1"/>
          <w:numId w:val="29"/>
        </w:numPr>
        <w:tabs>
          <w:tab w:val="left" w:pos="1440"/>
        </w:tabs>
        <w:ind w:left="1080"/>
        <w:jc w:val="both"/>
        <w:rPr>
          <w:sz w:val="22"/>
          <w:szCs w:val="22"/>
        </w:rPr>
      </w:pPr>
      <w:r>
        <w:rPr>
          <w:sz w:val="22"/>
          <w:szCs w:val="22"/>
        </w:rPr>
        <w:t>T</w:t>
      </w:r>
      <w:r w:rsidRPr="006660D3">
        <w:rPr>
          <w:sz w:val="22"/>
          <w:szCs w:val="22"/>
        </w:rPr>
        <w:t>ools and mechanisms to promote exports</w:t>
      </w:r>
      <w:r>
        <w:rPr>
          <w:sz w:val="22"/>
          <w:szCs w:val="22"/>
        </w:rPr>
        <w:t>.</w:t>
      </w:r>
    </w:p>
    <w:p w14:paraId="44B08E5F" w14:textId="07A9CE8F" w:rsidR="00D24D5F" w:rsidRDefault="0065063E" w:rsidP="00A67216">
      <w:pPr>
        <w:pStyle w:val="ListParagraph"/>
        <w:numPr>
          <w:ilvl w:val="1"/>
          <w:numId w:val="29"/>
        </w:numPr>
        <w:tabs>
          <w:tab w:val="left" w:pos="1440"/>
        </w:tabs>
        <w:ind w:left="1080"/>
        <w:jc w:val="both"/>
        <w:rPr>
          <w:sz w:val="22"/>
          <w:szCs w:val="22"/>
        </w:rPr>
      </w:pPr>
      <w:r>
        <w:rPr>
          <w:sz w:val="22"/>
          <w:szCs w:val="22"/>
        </w:rPr>
        <w:t>P</w:t>
      </w:r>
      <w:r w:rsidR="006660D3" w:rsidRPr="006660D3">
        <w:rPr>
          <w:sz w:val="22"/>
          <w:szCs w:val="22"/>
        </w:rPr>
        <w:t>romotion of local consumption</w:t>
      </w:r>
      <w:r>
        <w:rPr>
          <w:sz w:val="22"/>
          <w:szCs w:val="22"/>
        </w:rPr>
        <w:t xml:space="preserve"> through marketing campaigns aimed at increasing recognition of local businesses and products</w:t>
      </w:r>
      <w:r w:rsidR="009271BC">
        <w:rPr>
          <w:sz w:val="22"/>
          <w:szCs w:val="22"/>
        </w:rPr>
        <w:t>.</w:t>
      </w:r>
    </w:p>
    <w:p w14:paraId="08E76B63" w14:textId="77777777" w:rsidR="00FA01B1" w:rsidRDefault="00FA01B1" w:rsidP="007A146D">
      <w:pPr>
        <w:pStyle w:val="ListParagraph"/>
        <w:tabs>
          <w:tab w:val="left" w:pos="1440"/>
        </w:tabs>
        <w:ind w:left="1080"/>
        <w:jc w:val="both"/>
        <w:rPr>
          <w:sz w:val="22"/>
          <w:szCs w:val="22"/>
        </w:rPr>
      </w:pPr>
    </w:p>
    <w:p w14:paraId="03F46C95" w14:textId="77777777" w:rsidR="00F57ACE" w:rsidRDefault="007D5EFE" w:rsidP="007A146D">
      <w:pPr>
        <w:pStyle w:val="ListParagraph"/>
        <w:numPr>
          <w:ilvl w:val="0"/>
          <w:numId w:val="27"/>
        </w:numPr>
        <w:ind w:left="720"/>
        <w:jc w:val="both"/>
        <w:rPr>
          <w:sz w:val="22"/>
          <w:szCs w:val="22"/>
        </w:rPr>
      </w:pPr>
      <w:r w:rsidRPr="007A146D">
        <w:rPr>
          <w:sz w:val="22"/>
          <w:szCs w:val="22"/>
        </w:rPr>
        <w:t xml:space="preserve">Promotion of business formalization initiatives. </w:t>
      </w:r>
    </w:p>
    <w:p w14:paraId="310F57CF" w14:textId="77777777" w:rsidR="00FA01B1" w:rsidRDefault="00FA01B1" w:rsidP="00FA01B1">
      <w:pPr>
        <w:pStyle w:val="ListParagraph"/>
        <w:jc w:val="both"/>
        <w:rPr>
          <w:sz w:val="22"/>
          <w:szCs w:val="22"/>
        </w:rPr>
      </w:pPr>
    </w:p>
    <w:p w14:paraId="508238B2" w14:textId="1BE0161E" w:rsidR="006660D3" w:rsidRPr="0041118B" w:rsidRDefault="007D5EFE" w:rsidP="00FA01B1">
      <w:pPr>
        <w:pStyle w:val="ListParagraph"/>
        <w:numPr>
          <w:ilvl w:val="0"/>
          <w:numId w:val="33"/>
        </w:numPr>
        <w:tabs>
          <w:tab w:val="left" w:pos="1440"/>
        </w:tabs>
        <w:ind w:left="1080"/>
        <w:jc w:val="both"/>
      </w:pPr>
      <w:r w:rsidRPr="007A146D">
        <w:rPr>
          <w:sz w:val="22"/>
          <w:szCs w:val="22"/>
        </w:rPr>
        <w:t>Reviewing legal regulations and financial instruments to battle informality.</w:t>
      </w:r>
      <w:r w:rsidR="006660D3" w:rsidRPr="0041118B">
        <w:t xml:space="preserve"> </w:t>
      </w:r>
    </w:p>
    <w:p w14:paraId="20EBA2AA" w14:textId="77777777" w:rsidR="00600AA4" w:rsidRPr="0041118B" w:rsidRDefault="00600AA4" w:rsidP="00600AA4">
      <w:pPr>
        <w:pStyle w:val="BodyText"/>
        <w:tabs>
          <w:tab w:val="left" w:pos="720"/>
          <w:tab w:val="left" w:pos="1440"/>
          <w:tab w:val="left" w:pos="2160"/>
          <w:tab w:val="left" w:pos="2880"/>
        </w:tabs>
        <w:kinsoku w:val="0"/>
        <w:overflowPunct w:val="0"/>
        <w:spacing w:after="0"/>
        <w:ind w:right="118"/>
        <w:rPr>
          <w:b/>
          <w:lang w:val="en-US"/>
        </w:rPr>
      </w:pPr>
    </w:p>
    <w:p w14:paraId="5437ECB0" w14:textId="7A163D00" w:rsidR="00600AA4" w:rsidRPr="009413C0" w:rsidRDefault="00600AA4" w:rsidP="00600AA4">
      <w:pPr>
        <w:pStyle w:val="BodyText"/>
        <w:numPr>
          <w:ilvl w:val="0"/>
          <w:numId w:val="24"/>
        </w:numPr>
        <w:tabs>
          <w:tab w:val="left" w:pos="720"/>
          <w:tab w:val="left" w:pos="1440"/>
          <w:tab w:val="left" w:pos="2160"/>
          <w:tab w:val="left" w:pos="2880"/>
        </w:tabs>
        <w:kinsoku w:val="0"/>
        <w:overflowPunct w:val="0"/>
        <w:spacing w:after="0"/>
        <w:ind w:right="118"/>
        <w:rPr>
          <w:b/>
          <w:lang w:val="en-US"/>
        </w:rPr>
      </w:pPr>
      <w:r w:rsidRPr="009413C0">
        <w:rPr>
          <w:b/>
          <w:color w:val="000000"/>
          <w:lang w:val="en-US"/>
        </w:rPr>
        <w:t>Innovative Reskilling for Tourism sector recovery</w:t>
      </w:r>
      <w:r w:rsidR="00F42F7D">
        <w:rPr>
          <w:b/>
          <w:color w:val="000000"/>
          <w:lang w:val="en-US"/>
        </w:rPr>
        <w:t xml:space="preserve"> and regional economies</w:t>
      </w:r>
    </w:p>
    <w:p w14:paraId="007FF448" w14:textId="77777777" w:rsidR="00600AA4" w:rsidRPr="005456DF" w:rsidRDefault="00600AA4" w:rsidP="00600AA4">
      <w:pPr>
        <w:ind w:firstLine="360"/>
        <w:jc w:val="both"/>
        <w:rPr>
          <w:sz w:val="22"/>
          <w:szCs w:val="22"/>
          <w:lang w:val="en-US"/>
        </w:rPr>
      </w:pPr>
    </w:p>
    <w:p w14:paraId="47CB278D" w14:textId="77500956" w:rsidR="00600AA4" w:rsidRPr="005456DF" w:rsidRDefault="00600AA4" w:rsidP="00600AA4">
      <w:pPr>
        <w:ind w:firstLine="720"/>
        <w:jc w:val="both"/>
        <w:rPr>
          <w:sz w:val="22"/>
          <w:szCs w:val="22"/>
          <w:lang w:val="en-US"/>
        </w:rPr>
      </w:pPr>
      <w:r w:rsidRPr="005456DF">
        <w:rPr>
          <w:sz w:val="22"/>
          <w:szCs w:val="22"/>
          <w:lang w:val="en-US"/>
        </w:rPr>
        <w:lastRenderedPageBreak/>
        <w:t xml:space="preserve">The COVID-19 crisis has created a sharp downturn in tourism, particularly affecting Caribbean economies, which are highly dependent on the sector. The latest report from the IDB on the evolving economic and employment consequences of the COVID-19 outbreak highlights the potential </w:t>
      </w:r>
      <w:r w:rsidR="00C2591A" w:rsidRPr="005456DF">
        <w:rPr>
          <w:sz w:val="22"/>
          <w:szCs w:val="22"/>
          <w:lang w:val="en-US"/>
        </w:rPr>
        <w:t>damag</w:t>
      </w:r>
      <w:r w:rsidR="00C2591A">
        <w:rPr>
          <w:sz w:val="22"/>
          <w:szCs w:val="22"/>
          <w:lang w:val="en-US"/>
        </w:rPr>
        <w:t>e</w:t>
      </w:r>
      <w:r w:rsidR="00C2591A" w:rsidRPr="005456DF">
        <w:rPr>
          <w:sz w:val="22"/>
          <w:szCs w:val="22"/>
          <w:lang w:val="en-US"/>
        </w:rPr>
        <w:t xml:space="preserve"> </w:t>
      </w:r>
      <w:r w:rsidR="00C2591A">
        <w:rPr>
          <w:sz w:val="22"/>
          <w:szCs w:val="22"/>
          <w:lang w:val="en-US"/>
        </w:rPr>
        <w:t>to</w:t>
      </w:r>
      <w:r w:rsidR="00C2591A" w:rsidRPr="005456DF">
        <w:rPr>
          <w:sz w:val="22"/>
          <w:szCs w:val="22"/>
          <w:lang w:val="en-US"/>
        </w:rPr>
        <w:t xml:space="preserve"> </w:t>
      </w:r>
      <w:r w:rsidRPr="005456DF">
        <w:rPr>
          <w:sz w:val="22"/>
          <w:szCs w:val="22"/>
          <w:lang w:val="en-US"/>
        </w:rPr>
        <w:t>output, employment, and export revenues across the region, estimating that the pandemic could lead to a negative shock of between 40 to 70% of tourism flows to the region in a single year</w:t>
      </w:r>
      <w:r w:rsidRPr="00C91639">
        <w:rPr>
          <w:rStyle w:val="FootnoteReference"/>
          <w:sz w:val="22"/>
          <w:szCs w:val="22"/>
        </w:rPr>
        <w:footnoteReference w:id="5"/>
      </w:r>
      <w:r w:rsidRPr="005456DF">
        <w:rPr>
          <w:sz w:val="22"/>
          <w:szCs w:val="22"/>
          <w:lang w:val="en-US"/>
        </w:rPr>
        <w:t>.</w:t>
      </w:r>
    </w:p>
    <w:p w14:paraId="57B92B4F" w14:textId="77777777" w:rsidR="00600AA4" w:rsidRPr="005456DF" w:rsidRDefault="00600AA4" w:rsidP="00600AA4">
      <w:pPr>
        <w:ind w:left="720"/>
        <w:jc w:val="both"/>
        <w:rPr>
          <w:sz w:val="22"/>
          <w:szCs w:val="22"/>
          <w:lang w:val="en-US"/>
        </w:rPr>
      </w:pPr>
    </w:p>
    <w:p w14:paraId="74B4D671" w14:textId="14A46BE0" w:rsidR="001C423E" w:rsidRDefault="00600AA4" w:rsidP="00B61304">
      <w:pPr>
        <w:ind w:firstLine="360"/>
        <w:jc w:val="both"/>
        <w:rPr>
          <w:sz w:val="22"/>
          <w:szCs w:val="22"/>
          <w:lang w:val="en-US"/>
        </w:rPr>
      </w:pPr>
      <w:r w:rsidRPr="005456DF">
        <w:rPr>
          <w:lang w:val="en-US"/>
        </w:rPr>
        <w:tab/>
      </w:r>
      <w:r w:rsidRPr="005456DF">
        <w:rPr>
          <w:sz w:val="22"/>
          <w:szCs w:val="22"/>
          <w:lang w:val="en-US"/>
        </w:rPr>
        <w:t>The Americas are home to many of the world’s most tourism-dependent economies. The IDB’s global Tourism Dependency Ranking, which ranks 166 countries, features 10 Caribbean Member States in its top 20. The most tourism-dependent economy in the Caribbean</w:t>
      </w:r>
      <w:r w:rsidR="0028615C">
        <w:rPr>
          <w:sz w:val="22"/>
          <w:szCs w:val="22"/>
          <w:lang w:val="en-US"/>
        </w:rPr>
        <w:t xml:space="preserve"> (that is a Member State of the OAS)</w:t>
      </w:r>
      <w:r w:rsidRPr="005456DF">
        <w:rPr>
          <w:sz w:val="22"/>
          <w:szCs w:val="22"/>
          <w:lang w:val="en-US"/>
        </w:rPr>
        <w:t xml:space="preserve"> is Antigua and Barbuda with a Tourism Dependency Index (TDI)</w:t>
      </w:r>
      <w:r w:rsidRPr="005456DF">
        <w:rPr>
          <w:rStyle w:val="FootnoteReference"/>
          <w:sz w:val="22"/>
          <w:szCs w:val="22"/>
          <w:lang w:val="en-US"/>
        </w:rPr>
        <w:t xml:space="preserve"> </w:t>
      </w:r>
      <w:r>
        <w:rPr>
          <w:rStyle w:val="FootnoteReference"/>
          <w:sz w:val="22"/>
          <w:szCs w:val="22"/>
        </w:rPr>
        <w:footnoteReference w:id="6"/>
      </w:r>
      <w:r w:rsidRPr="005456DF">
        <w:rPr>
          <w:sz w:val="22"/>
          <w:szCs w:val="22"/>
          <w:lang w:val="en-US"/>
        </w:rPr>
        <w:t xml:space="preserve"> of 61.4, followed by The Bahamas (59.4), Saint Lucia (56.4) and Dominica (48.3). Even for larger and more diversified economies in the region, tourism supports the lives and livelihoods of millions of citizens. From 2014 to 2018, tourism accounted for an average of about 16</w:t>
      </w:r>
      <w:r w:rsidR="00D5653C">
        <w:rPr>
          <w:sz w:val="22"/>
          <w:szCs w:val="22"/>
          <w:lang w:val="en-US"/>
        </w:rPr>
        <w:t xml:space="preserve">% </w:t>
      </w:r>
      <w:r w:rsidRPr="005456DF">
        <w:rPr>
          <w:sz w:val="22"/>
          <w:szCs w:val="22"/>
          <w:lang w:val="en-US"/>
        </w:rPr>
        <w:t>of both economic output and employment in Mexico, and about 10% of both GDP and employment in Uruguay, Argentina, and Chile, followed closely by Brazil</w:t>
      </w:r>
      <w:r w:rsidRPr="00C91639">
        <w:rPr>
          <w:rStyle w:val="FootnoteReference"/>
          <w:sz w:val="22"/>
          <w:szCs w:val="22"/>
        </w:rPr>
        <w:footnoteReference w:id="7"/>
      </w:r>
      <w:r w:rsidRPr="005456DF">
        <w:rPr>
          <w:sz w:val="22"/>
          <w:szCs w:val="22"/>
          <w:lang w:val="en-US"/>
        </w:rPr>
        <w:t>.</w:t>
      </w:r>
      <w:r w:rsidR="00F41174">
        <w:rPr>
          <w:sz w:val="22"/>
          <w:szCs w:val="22"/>
          <w:lang w:val="en-US"/>
        </w:rPr>
        <w:t xml:space="preserve"> </w:t>
      </w:r>
    </w:p>
    <w:p w14:paraId="02CB2D85" w14:textId="543B254E" w:rsidR="00D5653C" w:rsidRDefault="00D5653C" w:rsidP="00B61304">
      <w:pPr>
        <w:ind w:firstLine="360"/>
        <w:jc w:val="both"/>
        <w:rPr>
          <w:sz w:val="22"/>
          <w:szCs w:val="22"/>
          <w:lang w:val="en-US"/>
        </w:rPr>
      </w:pPr>
    </w:p>
    <w:p w14:paraId="4F63A49D" w14:textId="63A59576" w:rsidR="00600AA4" w:rsidRDefault="00AD181C" w:rsidP="00600AA4">
      <w:pPr>
        <w:pStyle w:val="BodyText"/>
        <w:tabs>
          <w:tab w:val="left" w:pos="720"/>
          <w:tab w:val="left" w:pos="1440"/>
          <w:tab w:val="left" w:pos="2160"/>
          <w:tab w:val="left" w:pos="2880"/>
        </w:tabs>
        <w:kinsoku w:val="0"/>
        <w:overflowPunct w:val="0"/>
        <w:spacing w:after="0"/>
        <w:ind w:right="118"/>
        <w:rPr>
          <w:snapToGrid/>
          <w:lang w:val="en-US"/>
        </w:rPr>
      </w:pPr>
      <w:r>
        <w:rPr>
          <w:lang w:val="en-US"/>
        </w:rPr>
        <w:tab/>
      </w:r>
      <w:r w:rsidR="002F0DFD" w:rsidRPr="002F0DFD">
        <w:rPr>
          <w:lang w:val="en-US"/>
        </w:rPr>
        <w:t xml:space="preserve">The </w:t>
      </w:r>
      <w:r w:rsidR="009271BC" w:rsidRPr="002F0DFD">
        <w:rPr>
          <w:lang w:val="en-US"/>
        </w:rPr>
        <w:t xml:space="preserve">tourism sector </w:t>
      </w:r>
      <w:r w:rsidR="00497842">
        <w:rPr>
          <w:lang w:val="en-US"/>
        </w:rPr>
        <w:t xml:space="preserve">also </w:t>
      </w:r>
      <w:r w:rsidR="009271BC">
        <w:rPr>
          <w:lang w:val="en-US"/>
        </w:rPr>
        <w:t>represents an important</w:t>
      </w:r>
      <w:r w:rsidR="009271BC" w:rsidRPr="002F0DFD">
        <w:rPr>
          <w:lang w:val="en-US"/>
        </w:rPr>
        <w:t xml:space="preserve"> </w:t>
      </w:r>
      <w:r w:rsidR="002F0DFD" w:rsidRPr="002F0DFD">
        <w:rPr>
          <w:lang w:val="en-US"/>
        </w:rPr>
        <w:t>share of total employment in the region</w:t>
      </w:r>
      <w:r w:rsidR="009271BC">
        <w:rPr>
          <w:lang w:val="en-US"/>
        </w:rPr>
        <w:t xml:space="preserve">, </w:t>
      </w:r>
      <w:r w:rsidR="009271BC" w:rsidRPr="002F0DFD">
        <w:rPr>
          <w:lang w:val="en-US"/>
        </w:rPr>
        <w:t>support</w:t>
      </w:r>
      <w:r w:rsidR="009271BC">
        <w:rPr>
          <w:lang w:val="en-US"/>
        </w:rPr>
        <w:t>ing</w:t>
      </w:r>
      <w:r w:rsidR="009271BC" w:rsidRPr="002F0DFD">
        <w:rPr>
          <w:lang w:val="en-US"/>
        </w:rPr>
        <w:t xml:space="preserve"> the lives and livelihoods of millions of citizens</w:t>
      </w:r>
      <w:r w:rsidR="002F0DFD" w:rsidRPr="002F0DFD">
        <w:rPr>
          <w:lang w:val="en-US"/>
        </w:rPr>
        <w:t xml:space="preserve">. </w:t>
      </w:r>
      <w:proofErr w:type="gramStart"/>
      <w:r w:rsidR="002F0DFD" w:rsidRPr="002F0DFD">
        <w:rPr>
          <w:lang w:val="en-US"/>
        </w:rPr>
        <w:t xml:space="preserve">Available data from the TDI (2014 -2018) </w:t>
      </w:r>
      <w:r w:rsidR="00497842">
        <w:rPr>
          <w:lang w:val="en-US"/>
        </w:rPr>
        <w:t>indicates</w:t>
      </w:r>
      <w:r w:rsidR="002F0DFD" w:rsidRPr="002F0DFD">
        <w:rPr>
          <w:lang w:val="en-US"/>
        </w:rPr>
        <w:t xml:space="preserve"> that the tourism sector was r</w:t>
      </w:r>
      <w:r>
        <w:rPr>
          <w:lang w:val="en-US"/>
        </w:rPr>
        <w:t xml:space="preserve">esponsible for </w:t>
      </w:r>
      <w:r w:rsidR="00497842">
        <w:rPr>
          <w:lang w:val="en-US"/>
        </w:rPr>
        <w:t xml:space="preserve">over half of total employment in </w:t>
      </w:r>
      <w:r w:rsidR="004C71D4">
        <w:rPr>
          <w:lang w:val="en-US"/>
        </w:rPr>
        <w:t>some economies, with</w:t>
      </w:r>
      <w:r w:rsidR="00497842">
        <w:rPr>
          <w:lang w:val="en-US"/>
        </w:rPr>
        <w:t xml:space="preserve"> </w:t>
      </w:r>
      <w:r>
        <w:rPr>
          <w:lang w:val="en-US"/>
        </w:rPr>
        <w:t>an average of 56</w:t>
      </w:r>
      <w:r w:rsidR="002F0DFD" w:rsidRPr="002F0DFD">
        <w:rPr>
          <w:lang w:val="en-US"/>
        </w:rPr>
        <w:t>% of</w:t>
      </w:r>
      <w:r w:rsidR="002F0DFD">
        <w:rPr>
          <w:lang w:val="en-US"/>
        </w:rPr>
        <w:t xml:space="preserve"> employment </w:t>
      </w:r>
      <w:r w:rsidR="004C71D4">
        <w:rPr>
          <w:lang w:val="en-US"/>
        </w:rPr>
        <w:t>in</w:t>
      </w:r>
      <w:r w:rsidR="002F0DFD">
        <w:rPr>
          <w:lang w:val="en-US"/>
        </w:rPr>
        <w:t xml:space="preserve"> the Bahamas</w:t>
      </w:r>
      <w:r>
        <w:rPr>
          <w:lang w:val="en-US"/>
        </w:rPr>
        <w:t xml:space="preserve">, </w:t>
      </w:r>
      <w:r w:rsidR="004C71D4">
        <w:rPr>
          <w:lang w:val="en-US"/>
        </w:rPr>
        <w:t xml:space="preserve">for example, </w:t>
      </w:r>
      <w:r>
        <w:rPr>
          <w:lang w:val="en-US"/>
        </w:rPr>
        <w:t>while</w:t>
      </w:r>
      <w:r w:rsidR="002F0DFD" w:rsidRPr="002F0DFD">
        <w:rPr>
          <w:lang w:val="en-US"/>
        </w:rPr>
        <w:t xml:space="preserve"> additional research from the WTTC</w:t>
      </w:r>
      <w:r>
        <w:rPr>
          <w:rStyle w:val="FootnoteReference"/>
          <w:lang w:val="en-US"/>
        </w:rPr>
        <w:footnoteReference w:id="8"/>
      </w:r>
      <w:r w:rsidR="002F0DFD" w:rsidRPr="002F0DFD">
        <w:rPr>
          <w:lang w:val="en-US"/>
        </w:rPr>
        <w:t xml:space="preserve"> estimates that </w:t>
      </w:r>
      <w:r w:rsidR="004C71D4">
        <w:rPr>
          <w:lang w:val="en-US"/>
        </w:rPr>
        <w:t>in</w:t>
      </w:r>
      <w:r w:rsidR="002F0DFD" w:rsidRPr="002F0DFD">
        <w:rPr>
          <w:lang w:val="en-US"/>
        </w:rPr>
        <w:t xml:space="preserve"> 2019</w:t>
      </w:r>
      <w:r w:rsidR="009271BC">
        <w:rPr>
          <w:lang w:val="en-US"/>
        </w:rPr>
        <w:t>,</w:t>
      </w:r>
      <w:r w:rsidR="002F0DFD" w:rsidRPr="002F0DFD">
        <w:rPr>
          <w:lang w:val="en-US"/>
        </w:rPr>
        <w:t xml:space="preserve"> the contribution of  travel </w:t>
      </w:r>
      <w:r w:rsidR="009271BC">
        <w:rPr>
          <w:lang w:val="en-US"/>
        </w:rPr>
        <w:t>and</w:t>
      </w:r>
      <w:r w:rsidR="002F0DFD" w:rsidRPr="002F0DFD">
        <w:rPr>
          <w:lang w:val="en-US"/>
        </w:rPr>
        <w:t xml:space="preserve"> tourism to </w:t>
      </w:r>
      <w:r w:rsidR="002F0DFD" w:rsidRPr="002F0DFD">
        <w:rPr>
          <w:lang w:val="en-US"/>
        </w:rPr>
        <w:lastRenderedPageBreak/>
        <w:t>employment</w:t>
      </w:r>
      <w:r w:rsidR="002F0DFD">
        <w:rPr>
          <w:lang w:val="en-US"/>
        </w:rPr>
        <w:t xml:space="preserve"> for </w:t>
      </w:r>
      <w:r w:rsidR="00497842">
        <w:rPr>
          <w:lang w:val="en-US"/>
        </w:rPr>
        <w:t xml:space="preserve">heavily </w:t>
      </w:r>
      <w:r w:rsidR="002F0DFD" w:rsidRPr="00507036">
        <w:rPr>
          <w:lang w:val="en-US"/>
        </w:rPr>
        <w:t>tourism</w:t>
      </w:r>
      <w:r w:rsidR="004C71D4">
        <w:rPr>
          <w:lang w:val="en-US"/>
        </w:rPr>
        <w:t>-</w:t>
      </w:r>
      <w:r w:rsidR="002F0DFD" w:rsidRPr="00507036">
        <w:rPr>
          <w:lang w:val="en-US"/>
        </w:rPr>
        <w:t>dependent countries</w:t>
      </w:r>
      <w:r w:rsidR="002F0DFD" w:rsidRPr="002F0DFD">
        <w:rPr>
          <w:lang w:val="en-US"/>
        </w:rPr>
        <w:t xml:space="preserve"> range</w:t>
      </w:r>
      <w:r w:rsidR="004C71D4">
        <w:rPr>
          <w:lang w:val="en-US"/>
        </w:rPr>
        <w:t>d</w:t>
      </w:r>
      <w:r w:rsidR="002F0DFD" w:rsidRPr="002F0DFD">
        <w:rPr>
          <w:lang w:val="en-US"/>
        </w:rPr>
        <w:t xml:space="preserve"> from 90.7% in Antigua </w:t>
      </w:r>
      <w:r w:rsidR="00497842">
        <w:rPr>
          <w:lang w:val="en-US"/>
        </w:rPr>
        <w:t>and</w:t>
      </w:r>
      <w:r w:rsidR="002F0DFD" w:rsidRPr="002F0DFD">
        <w:rPr>
          <w:lang w:val="en-US"/>
        </w:rPr>
        <w:t xml:space="preserve"> Barbuda to 38.7% in Dominica.</w:t>
      </w:r>
      <w:proofErr w:type="gramEnd"/>
      <w:r w:rsidR="002F0DFD" w:rsidRPr="002F0DFD">
        <w:rPr>
          <w:lang w:val="en-US"/>
        </w:rPr>
        <w:t xml:space="preserve"> These numbers highlight the economic</w:t>
      </w:r>
      <w:r w:rsidR="004C71D4">
        <w:rPr>
          <w:lang w:val="en-US"/>
        </w:rPr>
        <w:t xml:space="preserve"> and</w:t>
      </w:r>
      <w:r w:rsidR="00497842">
        <w:rPr>
          <w:lang w:val="en-US"/>
        </w:rPr>
        <w:t xml:space="preserve"> social</w:t>
      </w:r>
      <w:r w:rsidR="002F0DFD" w:rsidRPr="002F0DFD">
        <w:rPr>
          <w:lang w:val="en-US"/>
        </w:rPr>
        <w:t xml:space="preserve"> impact of </w:t>
      </w:r>
      <w:r w:rsidR="00497842">
        <w:rPr>
          <w:lang w:val="en-US"/>
        </w:rPr>
        <w:t>the industry, particularly in the Caribbean region.</w:t>
      </w:r>
    </w:p>
    <w:p w14:paraId="455E7135" w14:textId="3B66E8DA" w:rsidR="001C423E" w:rsidRDefault="001C423E" w:rsidP="00600AA4">
      <w:pPr>
        <w:pStyle w:val="BodyText"/>
        <w:tabs>
          <w:tab w:val="left" w:pos="720"/>
          <w:tab w:val="left" w:pos="1440"/>
          <w:tab w:val="left" w:pos="2160"/>
          <w:tab w:val="left" w:pos="2880"/>
        </w:tabs>
        <w:kinsoku w:val="0"/>
        <w:overflowPunct w:val="0"/>
        <w:spacing w:after="0"/>
        <w:ind w:right="118"/>
        <w:rPr>
          <w:snapToGrid/>
          <w:lang w:val="en-US"/>
        </w:rPr>
      </w:pPr>
    </w:p>
    <w:p w14:paraId="3CAEF4BA" w14:textId="4782565D" w:rsidR="00600AA4" w:rsidRDefault="00600AA4" w:rsidP="00600AA4">
      <w:pPr>
        <w:pStyle w:val="BodyText"/>
        <w:tabs>
          <w:tab w:val="left" w:pos="720"/>
          <w:tab w:val="left" w:pos="1440"/>
          <w:tab w:val="left" w:pos="2160"/>
          <w:tab w:val="left" w:pos="2880"/>
        </w:tabs>
        <w:kinsoku w:val="0"/>
        <w:overflowPunct w:val="0"/>
        <w:spacing w:after="0"/>
        <w:ind w:right="118"/>
        <w:rPr>
          <w:snapToGrid/>
          <w:lang w:val="en-US"/>
        </w:rPr>
      </w:pPr>
      <w:r w:rsidRPr="0041118B">
        <w:rPr>
          <w:snapToGrid/>
          <w:lang w:val="en-US"/>
        </w:rPr>
        <w:tab/>
      </w:r>
      <w:r w:rsidRPr="00957772">
        <w:rPr>
          <w:snapToGrid/>
          <w:lang w:val="en-US"/>
        </w:rPr>
        <w:t xml:space="preserve">The disruptions from </w:t>
      </w:r>
      <w:r>
        <w:rPr>
          <w:snapToGrid/>
          <w:lang w:val="en-US"/>
        </w:rPr>
        <w:t xml:space="preserve">the pandemic </w:t>
      </w:r>
      <w:r w:rsidR="00B03148">
        <w:rPr>
          <w:snapToGrid/>
          <w:lang w:val="en-US"/>
        </w:rPr>
        <w:t xml:space="preserve">to </w:t>
      </w:r>
      <w:r>
        <w:rPr>
          <w:snapToGrid/>
          <w:lang w:val="en-US"/>
        </w:rPr>
        <w:t xml:space="preserve">the tourism sector </w:t>
      </w:r>
      <w:r w:rsidRPr="00957772">
        <w:rPr>
          <w:snapToGrid/>
          <w:lang w:val="en-US"/>
        </w:rPr>
        <w:t xml:space="preserve">are expected to continue for the </w:t>
      </w:r>
      <w:proofErr w:type="gramStart"/>
      <w:r w:rsidRPr="00957772">
        <w:rPr>
          <w:snapToGrid/>
          <w:lang w:val="en-US"/>
        </w:rPr>
        <w:t>foreseeable</w:t>
      </w:r>
      <w:proofErr w:type="gramEnd"/>
      <w:r w:rsidRPr="00957772">
        <w:rPr>
          <w:snapToGrid/>
          <w:lang w:val="en-US"/>
        </w:rPr>
        <w:t xml:space="preserve"> future.  </w:t>
      </w:r>
      <w:proofErr w:type="gramStart"/>
      <w:r>
        <w:rPr>
          <w:snapToGrid/>
          <w:lang w:val="en-US"/>
        </w:rPr>
        <w:t>Due to</w:t>
      </w:r>
      <w:r w:rsidRPr="005F7A29">
        <w:rPr>
          <w:snapToGrid/>
          <w:lang w:val="en-US"/>
        </w:rPr>
        <w:t xml:space="preserve"> its axial role in wider national economies with its significant backward forward linkages with agriculture,</w:t>
      </w:r>
      <w:proofErr w:type="gramEnd"/>
      <w:r w:rsidRPr="005F7A29">
        <w:rPr>
          <w:snapToGrid/>
          <w:lang w:val="en-US"/>
        </w:rPr>
        <w:t xml:space="preserve"> manufacturing</w:t>
      </w:r>
      <w:r>
        <w:rPr>
          <w:snapToGrid/>
          <w:lang w:val="en-US"/>
        </w:rPr>
        <w:t>,</w:t>
      </w:r>
      <w:r w:rsidRPr="005F7A29">
        <w:rPr>
          <w:snapToGrid/>
          <w:lang w:val="en-US"/>
        </w:rPr>
        <w:t xml:space="preserve"> and non-tourism services, job losses </w:t>
      </w:r>
      <w:r>
        <w:rPr>
          <w:snapToGrid/>
          <w:lang w:val="en-US"/>
        </w:rPr>
        <w:t xml:space="preserve">have been massive, </w:t>
      </w:r>
      <w:r w:rsidRPr="005F7A29">
        <w:rPr>
          <w:snapToGrid/>
          <w:lang w:val="en-US"/>
        </w:rPr>
        <w:t xml:space="preserve">placing severe strain on already-stressed Government finances to provide safety nets for the unemployed and vulnerable. </w:t>
      </w:r>
    </w:p>
    <w:p w14:paraId="1EEF474F" w14:textId="77777777" w:rsidR="00600AA4" w:rsidRDefault="00600AA4" w:rsidP="00600AA4">
      <w:pPr>
        <w:pStyle w:val="BodyText"/>
        <w:tabs>
          <w:tab w:val="left" w:pos="720"/>
          <w:tab w:val="left" w:pos="1440"/>
          <w:tab w:val="left" w:pos="2160"/>
          <w:tab w:val="left" w:pos="2880"/>
        </w:tabs>
        <w:kinsoku w:val="0"/>
        <w:overflowPunct w:val="0"/>
        <w:spacing w:after="0"/>
        <w:ind w:right="118"/>
        <w:rPr>
          <w:snapToGrid/>
          <w:lang w:val="en-US"/>
        </w:rPr>
      </w:pPr>
    </w:p>
    <w:p w14:paraId="0D32D0A1" w14:textId="25DD7D56" w:rsidR="006F390C" w:rsidRPr="00556B52" w:rsidRDefault="00600AA4" w:rsidP="006F390C">
      <w:pPr>
        <w:pStyle w:val="BodyText"/>
        <w:tabs>
          <w:tab w:val="left" w:pos="720"/>
          <w:tab w:val="left" w:pos="1440"/>
          <w:tab w:val="left" w:pos="2160"/>
          <w:tab w:val="left" w:pos="2880"/>
        </w:tabs>
        <w:kinsoku w:val="0"/>
        <w:overflowPunct w:val="0"/>
        <w:spacing w:after="0"/>
        <w:ind w:right="118"/>
        <w:rPr>
          <w:snapToGrid/>
          <w:lang w:val="en-US"/>
        </w:rPr>
      </w:pPr>
      <w:r>
        <w:rPr>
          <w:lang w:val="en-US"/>
        </w:rPr>
        <w:tab/>
      </w:r>
      <w:r w:rsidRPr="00957772">
        <w:rPr>
          <w:lang w:val="en-US"/>
        </w:rPr>
        <w:t xml:space="preserve">To address the impact of the pandemic on the region’s tourism </w:t>
      </w:r>
      <w:r>
        <w:rPr>
          <w:lang w:val="en-US"/>
        </w:rPr>
        <w:t xml:space="preserve">businesses and </w:t>
      </w:r>
      <w:r w:rsidRPr="00957772">
        <w:rPr>
          <w:lang w:val="en-US"/>
        </w:rPr>
        <w:t>labor force</w:t>
      </w:r>
      <w:r>
        <w:rPr>
          <w:lang w:val="en-US"/>
        </w:rPr>
        <w:t>,</w:t>
      </w:r>
      <w:r w:rsidRPr="00957772">
        <w:rPr>
          <w:lang w:val="en-US"/>
        </w:rPr>
        <w:t xml:space="preserve"> and help countries recover, </w:t>
      </w:r>
      <w:r w:rsidRPr="004B4874">
        <w:rPr>
          <w:lang w:val="en-US"/>
        </w:rPr>
        <w:t>skills</w:t>
      </w:r>
      <w:r w:rsidRPr="00957772">
        <w:rPr>
          <w:lang w:val="en-US"/>
        </w:rPr>
        <w:t xml:space="preserve"> diversification </w:t>
      </w:r>
      <w:r w:rsidR="005A3970" w:rsidRPr="00957772">
        <w:rPr>
          <w:lang w:val="en-US"/>
        </w:rPr>
        <w:t xml:space="preserve">and repurposing </w:t>
      </w:r>
      <w:r w:rsidR="005A3970">
        <w:rPr>
          <w:lang w:val="en-US"/>
        </w:rPr>
        <w:t>o</w:t>
      </w:r>
      <w:r w:rsidR="005A3970" w:rsidRPr="00957772">
        <w:rPr>
          <w:lang w:val="en-US"/>
        </w:rPr>
        <w:t>f the workforce</w:t>
      </w:r>
      <w:r w:rsidR="005A3970">
        <w:rPr>
          <w:lang w:val="en-US"/>
        </w:rPr>
        <w:t xml:space="preserve"> is critical </w:t>
      </w:r>
      <w:r w:rsidR="006D1EA0">
        <w:rPr>
          <w:lang w:val="en-US"/>
        </w:rPr>
        <w:t>to be able to operate in the “new normal” environment</w:t>
      </w:r>
      <w:r w:rsidR="005A3970" w:rsidRPr="00E34FBD">
        <w:rPr>
          <w:lang w:val="en-US"/>
        </w:rPr>
        <w:t>.</w:t>
      </w:r>
      <w:r w:rsidRPr="00957772">
        <w:rPr>
          <w:snapToGrid/>
          <w:lang w:val="en-US"/>
        </w:rPr>
        <w:t xml:space="preserve">. </w:t>
      </w:r>
      <w:proofErr w:type="gramStart"/>
      <w:r>
        <w:rPr>
          <w:snapToGrid/>
          <w:lang w:val="en-US"/>
        </w:rPr>
        <w:t xml:space="preserve">This must go hand in hand </w:t>
      </w:r>
      <w:r w:rsidR="00B03148">
        <w:rPr>
          <w:snapToGrid/>
          <w:lang w:val="en-US"/>
        </w:rPr>
        <w:t xml:space="preserve">by partnering with tourism </w:t>
      </w:r>
      <w:proofErr w:type="spellStart"/>
      <w:r w:rsidR="00B03148">
        <w:rPr>
          <w:snapToGrid/>
          <w:lang w:val="en-US"/>
        </w:rPr>
        <w:t>organisations</w:t>
      </w:r>
      <w:proofErr w:type="spellEnd"/>
      <w:r w:rsidR="00B03148">
        <w:rPr>
          <w:snapToGrid/>
          <w:lang w:val="en-US"/>
        </w:rPr>
        <w:t xml:space="preserve"> such as the </w:t>
      </w:r>
      <w:r w:rsidR="009909F8" w:rsidRPr="009909F8">
        <w:rPr>
          <w:snapToGrid/>
          <w:lang w:val="en-US"/>
        </w:rPr>
        <w:t>World Tourism Organization (UNWTO), World Travel and Tourism Council (WTTC), Caribbean Tourism Organization (CTO) and Caribbean Hotel &amp; Tourism Association (CHTA)</w:t>
      </w:r>
      <w:r w:rsidR="004C71D4">
        <w:rPr>
          <w:snapToGrid/>
          <w:lang w:val="en-US"/>
        </w:rPr>
        <w:t>,</w:t>
      </w:r>
      <w:r w:rsidR="00CF57E7">
        <w:rPr>
          <w:snapToGrid/>
          <w:lang w:val="en-US"/>
        </w:rPr>
        <w:t xml:space="preserve"> among other</w:t>
      </w:r>
      <w:r w:rsidR="004C71D4">
        <w:rPr>
          <w:snapToGrid/>
          <w:lang w:val="en-US"/>
        </w:rPr>
        <w:t xml:space="preserve"> </w:t>
      </w:r>
      <w:proofErr w:type="spellStart"/>
      <w:r w:rsidR="004C71D4">
        <w:rPr>
          <w:snapToGrid/>
          <w:lang w:val="en-US"/>
        </w:rPr>
        <w:t>intitutions</w:t>
      </w:r>
      <w:proofErr w:type="spellEnd"/>
      <w:r w:rsidR="009909F8" w:rsidRPr="009909F8">
        <w:rPr>
          <w:snapToGrid/>
          <w:lang w:val="en-US"/>
        </w:rPr>
        <w:t xml:space="preserve"> </w:t>
      </w:r>
      <w:r w:rsidR="00B03148">
        <w:rPr>
          <w:snapToGrid/>
          <w:lang w:val="en-US"/>
        </w:rPr>
        <w:t xml:space="preserve">that </w:t>
      </w:r>
      <w:r>
        <w:rPr>
          <w:snapToGrid/>
          <w:lang w:val="en-US"/>
        </w:rPr>
        <w:t xml:space="preserve">support emerging approaches for </w:t>
      </w:r>
      <w:r w:rsidRPr="003F64FE">
        <w:rPr>
          <w:snapToGrid/>
          <w:lang w:val="en-US"/>
        </w:rPr>
        <w:t>comprehensive tourism recovery plans</w:t>
      </w:r>
      <w:r w:rsidR="00B03148">
        <w:rPr>
          <w:snapToGrid/>
          <w:lang w:val="en-US"/>
        </w:rPr>
        <w:t xml:space="preserve"> and</w:t>
      </w:r>
      <w:r>
        <w:rPr>
          <w:snapToGrid/>
          <w:lang w:val="en-US"/>
        </w:rPr>
        <w:t xml:space="preserve">, focus on </w:t>
      </w:r>
      <w:r w:rsidRPr="003F64FE">
        <w:rPr>
          <w:snapToGrid/>
          <w:lang w:val="en-US"/>
        </w:rPr>
        <w:t>rebuild</w:t>
      </w:r>
      <w:r>
        <w:rPr>
          <w:snapToGrid/>
          <w:lang w:val="en-US"/>
        </w:rPr>
        <w:t>ing</w:t>
      </w:r>
      <w:r w:rsidRPr="003F64FE">
        <w:rPr>
          <w:snapToGrid/>
          <w:lang w:val="en-US"/>
        </w:rPr>
        <w:t xml:space="preserve"> destinations, encourag</w:t>
      </w:r>
      <w:r>
        <w:rPr>
          <w:snapToGrid/>
          <w:lang w:val="en-US"/>
        </w:rPr>
        <w:t>ing</w:t>
      </w:r>
      <w:r w:rsidRPr="003F64FE">
        <w:rPr>
          <w:snapToGrid/>
          <w:lang w:val="en-US"/>
        </w:rPr>
        <w:t xml:space="preserve"> innovation and investment, and rethink</w:t>
      </w:r>
      <w:r>
        <w:rPr>
          <w:snapToGrid/>
          <w:lang w:val="en-US"/>
        </w:rPr>
        <w:t>ing</w:t>
      </w:r>
      <w:r w:rsidRPr="003F64FE">
        <w:rPr>
          <w:snapToGrid/>
          <w:lang w:val="en-US"/>
        </w:rPr>
        <w:t xml:space="preserve"> the tourism sector</w:t>
      </w:r>
      <w:r>
        <w:rPr>
          <w:snapToGrid/>
          <w:lang w:val="en-US"/>
        </w:rPr>
        <w:t xml:space="preserve"> of the future</w:t>
      </w:r>
      <w:r w:rsidRPr="003F64FE">
        <w:rPr>
          <w:snapToGrid/>
          <w:lang w:val="en-US"/>
        </w:rPr>
        <w:t>.</w:t>
      </w:r>
      <w:proofErr w:type="gramEnd"/>
      <w:r>
        <w:rPr>
          <w:snapToGrid/>
          <w:lang w:val="en-US"/>
        </w:rPr>
        <w:t xml:space="preserve"> </w:t>
      </w:r>
    </w:p>
    <w:p w14:paraId="717A5B7F" w14:textId="77777777" w:rsidR="006F390C" w:rsidRPr="0041118B" w:rsidRDefault="006F390C" w:rsidP="006F390C">
      <w:pPr>
        <w:pStyle w:val="BodyText"/>
        <w:tabs>
          <w:tab w:val="left" w:pos="720"/>
          <w:tab w:val="left" w:pos="1440"/>
          <w:tab w:val="left" w:pos="2160"/>
          <w:tab w:val="left" w:pos="2880"/>
        </w:tabs>
        <w:kinsoku w:val="0"/>
        <w:overflowPunct w:val="0"/>
        <w:spacing w:after="0"/>
        <w:ind w:right="118"/>
        <w:rPr>
          <w:lang w:val="en-US"/>
        </w:rPr>
      </w:pPr>
    </w:p>
    <w:p w14:paraId="53CE30B5" w14:textId="1A21E2F4" w:rsidR="009E11BE" w:rsidRPr="009E11BE" w:rsidRDefault="009E11BE" w:rsidP="009E11BE">
      <w:pPr>
        <w:spacing w:line="0" w:lineRule="auto"/>
        <w:rPr>
          <w:rFonts w:ascii="ff4" w:eastAsia="Times New Roman" w:hAnsi="ff4"/>
          <w:color w:val="17476B"/>
          <w:spacing w:val="-20"/>
          <w:sz w:val="66"/>
          <w:szCs w:val="66"/>
          <w:lang w:val="en-US" w:eastAsia="en-US"/>
        </w:rPr>
      </w:pPr>
      <w:proofErr w:type="spellStart"/>
      <w:proofErr w:type="gramStart"/>
      <w:r w:rsidRPr="009E11BE">
        <w:rPr>
          <w:rFonts w:ascii="ff4" w:eastAsia="Times New Roman" w:hAnsi="ff4"/>
          <w:color w:val="17476B"/>
          <w:spacing w:val="-20"/>
          <w:sz w:val="66"/>
          <w:szCs w:val="66"/>
          <w:lang w:val="en-US" w:eastAsia="en-US"/>
        </w:rPr>
        <w:t>ew</w:t>
      </w:r>
      <w:proofErr w:type="spellEnd"/>
      <w:proofErr w:type="gramEnd"/>
      <w:r w:rsidRPr="009E11BE">
        <w:rPr>
          <w:rFonts w:ascii="ff4" w:eastAsia="Times New Roman" w:hAnsi="ff4"/>
          <w:color w:val="17476B"/>
          <w:spacing w:val="-20"/>
          <w:sz w:val="66"/>
          <w:szCs w:val="66"/>
          <w:lang w:val="en-US" w:eastAsia="en-US"/>
        </w:rPr>
        <w:t xml:space="preserve"> training opportunities geared towards </w:t>
      </w:r>
      <w:r w:rsidRPr="009E11BE">
        <w:rPr>
          <w:rFonts w:ascii="ff6" w:eastAsia="Times New Roman" w:hAnsi="ff6"/>
          <w:color w:val="17476B"/>
          <w:spacing w:val="-20"/>
          <w:sz w:val="66"/>
          <w:szCs w:val="66"/>
          <w:lang w:val="en-US" w:eastAsia="en-US"/>
        </w:rPr>
        <w:t>product development</w:t>
      </w:r>
      <w:r w:rsidRPr="009E11BE">
        <w:rPr>
          <w:rFonts w:ascii="ff4" w:eastAsia="Times New Roman" w:hAnsi="ff4"/>
          <w:color w:val="17476B"/>
          <w:spacing w:val="-20"/>
          <w:sz w:val="66"/>
          <w:szCs w:val="66"/>
          <w:lang w:val="en-US" w:eastAsia="en-US"/>
        </w:rPr>
        <w:t xml:space="preserve"> and </w:t>
      </w:r>
    </w:p>
    <w:p w14:paraId="282F7F53" w14:textId="77777777" w:rsidR="009E11BE" w:rsidRPr="009E11BE" w:rsidRDefault="009E11BE" w:rsidP="009E11BE">
      <w:pPr>
        <w:spacing w:line="0" w:lineRule="auto"/>
        <w:rPr>
          <w:rFonts w:ascii="ff4" w:eastAsia="Times New Roman" w:hAnsi="ff4"/>
          <w:color w:val="17476B"/>
          <w:spacing w:val="-20"/>
          <w:sz w:val="66"/>
          <w:szCs w:val="66"/>
          <w:lang w:val="en-US" w:eastAsia="en-US"/>
        </w:rPr>
      </w:pPr>
      <w:proofErr w:type="gramStart"/>
      <w:r w:rsidRPr="009E11BE">
        <w:rPr>
          <w:rFonts w:ascii="ff4" w:eastAsia="Times New Roman" w:hAnsi="ff4"/>
          <w:color w:val="17476B"/>
          <w:spacing w:val="-20"/>
          <w:sz w:val="66"/>
          <w:szCs w:val="66"/>
          <w:lang w:val="en-US" w:eastAsia="en-US"/>
        </w:rPr>
        <w:t>market</w:t>
      </w:r>
      <w:proofErr w:type="gramEnd"/>
      <w:r w:rsidRPr="009E11BE">
        <w:rPr>
          <w:rFonts w:ascii="ff4" w:eastAsia="Times New Roman" w:hAnsi="ff4"/>
          <w:color w:val="17476B"/>
          <w:spacing w:val="-20"/>
          <w:sz w:val="66"/>
          <w:szCs w:val="66"/>
          <w:lang w:val="en-US" w:eastAsia="en-US"/>
        </w:rPr>
        <w:t xml:space="preserve"> access for stakeholders working in the areas of culture and creative industries </w:t>
      </w:r>
    </w:p>
    <w:p w14:paraId="41345863" w14:textId="77777777" w:rsidR="009E11BE" w:rsidRPr="009E11BE" w:rsidRDefault="009E11BE" w:rsidP="009E11BE">
      <w:pPr>
        <w:spacing w:line="0" w:lineRule="auto"/>
        <w:rPr>
          <w:rFonts w:ascii="ff4" w:eastAsia="Times New Roman" w:hAnsi="ff4"/>
          <w:color w:val="17476B"/>
          <w:spacing w:val="-20"/>
          <w:sz w:val="66"/>
          <w:szCs w:val="66"/>
          <w:lang w:val="en-US" w:eastAsia="en-US"/>
        </w:rPr>
      </w:pPr>
      <w:r w:rsidRPr="009E11BE">
        <w:rPr>
          <w:rFonts w:ascii="ff4" w:eastAsia="Times New Roman" w:hAnsi="ff4"/>
          <w:color w:val="17476B"/>
          <w:spacing w:val="-20"/>
          <w:sz w:val="66"/>
          <w:szCs w:val="66"/>
          <w:lang w:val="en-US" w:eastAsia="en-US"/>
        </w:rPr>
        <w:t>(</w:t>
      </w:r>
      <w:proofErr w:type="gramStart"/>
      <w:r w:rsidRPr="009E11BE">
        <w:rPr>
          <w:rFonts w:ascii="ff4" w:eastAsia="Times New Roman" w:hAnsi="ff4"/>
          <w:color w:val="17476B"/>
          <w:spacing w:val="-20"/>
          <w:sz w:val="66"/>
          <w:szCs w:val="66"/>
          <w:lang w:val="en-US" w:eastAsia="en-US"/>
        </w:rPr>
        <w:t>engaged</w:t>
      </w:r>
      <w:proofErr w:type="gramEnd"/>
      <w:r w:rsidRPr="009E11BE">
        <w:rPr>
          <w:rFonts w:ascii="ff4" w:eastAsia="Times New Roman" w:hAnsi="ff4"/>
          <w:color w:val="17476B"/>
          <w:spacing w:val="-20"/>
          <w:sz w:val="66"/>
          <w:szCs w:val="66"/>
          <w:lang w:val="en-US" w:eastAsia="en-US"/>
        </w:rPr>
        <w:t xml:space="preserve"> in handicrafts, festivals, music, theatre, etc.), nature, sports, medical and </w:t>
      </w:r>
    </w:p>
    <w:p w14:paraId="102FA183" w14:textId="77777777" w:rsidR="009E11BE" w:rsidRPr="009E11BE" w:rsidRDefault="009E11BE" w:rsidP="009E11BE">
      <w:pPr>
        <w:spacing w:line="0" w:lineRule="auto"/>
        <w:rPr>
          <w:rFonts w:ascii="ff4" w:eastAsia="Times New Roman" w:hAnsi="ff4"/>
          <w:color w:val="17476B"/>
          <w:spacing w:val="-20"/>
          <w:sz w:val="66"/>
          <w:szCs w:val="66"/>
          <w:lang w:val="en-US" w:eastAsia="en-US"/>
        </w:rPr>
      </w:pPr>
      <w:proofErr w:type="gramStart"/>
      <w:r w:rsidRPr="009E11BE">
        <w:rPr>
          <w:rFonts w:ascii="ff4" w:eastAsia="Times New Roman" w:hAnsi="ff4"/>
          <w:color w:val="17476B"/>
          <w:spacing w:val="-20"/>
          <w:sz w:val="66"/>
          <w:szCs w:val="66"/>
          <w:lang w:val="en-US" w:eastAsia="en-US"/>
        </w:rPr>
        <w:t>wellness</w:t>
      </w:r>
      <w:proofErr w:type="gramEnd"/>
      <w:r w:rsidRPr="009E11BE">
        <w:rPr>
          <w:rFonts w:ascii="ff4" w:eastAsia="Times New Roman" w:hAnsi="ff4"/>
          <w:color w:val="17476B"/>
          <w:spacing w:val="-20"/>
          <w:sz w:val="66"/>
          <w:szCs w:val="66"/>
          <w:lang w:val="en-US" w:eastAsia="en-US"/>
        </w:rPr>
        <w:t xml:space="preserve"> tourism to create new innovative all-year around products</w:t>
      </w:r>
    </w:p>
    <w:p w14:paraId="6A4F2694" w14:textId="0D199833" w:rsidR="00E34FBD" w:rsidRDefault="00E34FBD" w:rsidP="00B03148">
      <w:pPr>
        <w:pStyle w:val="BodyText"/>
        <w:tabs>
          <w:tab w:val="left" w:pos="720"/>
          <w:tab w:val="left" w:pos="1440"/>
          <w:tab w:val="left" w:pos="2160"/>
          <w:tab w:val="left" w:pos="2880"/>
        </w:tabs>
        <w:kinsoku w:val="0"/>
        <w:overflowPunct w:val="0"/>
        <w:spacing w:after="0"/>
        <w:ind w:right="118"/>
        <w:rPr>
          <w:snapToGrid/>
          <w:lang w:val="en-US"/>
        </w:rPr>
      </w:pPr>
      <w:r>
        <w:rPr>
          <w:snapToGrid/>
          <w:lang w:val="en-US"/>
        </w:rPr>
        <w:tab/>
      </w:r>
      <w:r w:rsidRPr="00E34FBD">
        <w:rPr>
          <w:snapToGrid/>
          <w:lang w:val="en-US"/>
        </w:rPr>
        <w:t xml:space="preserve">Innovative reskilling for tourism sector recovery </w:t>
      </w:r>
      <w:proofErr w:type="gramStart"/>
      <w:r w:rsidRPr="00E34FBD">
        <w:rPr>
          <w:snapToGrid/>
          <w:lang w:val="en-US"/>
        </w:rPr>
        <w:t>should be premised</w:t>
      </w:r>
      <w:proofErr w:type="gramEnd"/>
      <w:r w:rsidRPr="00E34FBD">
        <w:rPr>
          <w:snapToGrid/>
          <w:lang w:val="en-US"/>
        </w:rPr>
        <w:t xml:space="preserve"> on a holistic approach that recognizes not only the importance of developing a highly skilled workforce</w:t>
      </w:r>
      <w:r w:rsidR="004C71D4">
        <w:rPr>
          <w:snapToGrid/>
          <w:lang w:val="en-US"/>
        </w:rPr>
        <w:t>,</w:t>
      </w:r>
      <w:r w:rsidRPr="00E34FBD">
        <w:rPr>
          <w:snapToGrid/>
          <w:lang w:val="en-US"/>
        </w:rPr>
        <w:t xml:space="preserve"> but also the importance of innovation in the development of new services, products and processes.</w:t>
      </w:r>
      <w:r w:rsidR="002427ED">
        <w:rPr>
          <w:snapToGrid/>
          <w:lang w:val="en-US"/>
        </w:rPr>
        <w:t xml:space="preserve"> </w:t>
      </w:r>
      <w:r w:rsidR="004C71D4">
        <w:rPr>
          <w:snapToGrid/>
          <w:lang w:val="en-US"/>
        </w:rPr>
        <w:t>B</w:t>
      </w:r>
      <w:r w:rsidRPr="00E34FBD">
        <w:rPr>
          <w:snapToGrid/>
          <w:lang w:val="en-US"/>
        </w:rPr>
        <w:t>ased on a series of recommendations</w:t>
      </w:r>
      <w:r>
        <w:rPr>
          <w:snapToGrid/>
          <w:lang w:val="en-US"/>
        </w:rPr>
        <w:t xml:space="preserve"> from the </w:t>
      </w:r>
      <w:r>
        <w:rPr>
          <w:lang w:val="en-US"/>
        </w:rPr>
        <w:t>UNWTO</w:t>
      </w:r>
      <w:r>
        <w:rPr>
          <w:rStyle w:val="FootnoteReference"/>
          <w:snapToGrid/>
          <w:lang w:val="en-US"/>
        </w:rPr>
        <w:footnoteReference w:id="9"/>
      </w:r>
      <w:r w:rsidRPr="00E34FBD">
        <w:rPr>
          <w:snapToGrid/>
          <w:lang w:val="en-US"/>
        </w:rPr>
        <w:t>, for the types of training required for tourism service operators, particularly MSMEs and other vulnerable groups, in light of the COVID-19 Pandemic, the following areas</w:t>
      </w:r>
      <w:r w:rsidR="00481BEB">
        <w:rPr>
          <w:snapToGrid/>
          <w:lang w:val="en-US"/>
        </w:rPr>
        <w:t xml:space="preserve"> of focus </w:t>
      </w:r>
      <w:proofErr w:type="gramStart"/>
      <w:r w:rsidR="00481BEB">
        <w:rPr>
          <w:snapToGrid/>
          <w:lang w:val="en-US"/>
        </w:rPr>
        <w:t>are</w:t>
      </w:r>
      <w:r w:rsidRPr="00E34FBD">
        <w:rPr>
          <w:snapToGrid/>
          <w:lang w:val="en-US"/>
        </w:rPr>
        <w:t xml:space="preserve"> proposed</w:t>
      </w:r>
      <w:proofErr w:type="gramEnd"/>
      <w:r w:rsidRPr="00E34FBD">
        <w:rPr>
          <w:snapToGrid/>
          <w:lang w:val="en-US"/>
        </w:rPr>
        <w:t>:</w:t>
      </w:r>
    </w:p>
    <w:p w14:paraId="2A2018B2" w14:textId="77777777" w:rsidR="00B81F0B" w:rsidRDefault="00B81F0B" w:rsidP="00B03148">
      <w:pPr>
        <w:pStyle w:val="BodyText"/>
        <w:tabs>
          <w:tab w:val="left" w:pos="720"/>
          <w:tab w:val="left" w:pos="1440"/>
          <w:tab w:val="left" w:pos="2160"/>
          <w:tab w:val="left" w:pos="2880"/>
        </w:tabs>
        <w:kinsoku w:val="0"/>
        <w:overflowPunct w:val="0"/>
        <w:spacing w:after="0"/>
        <w:ind w:right="118"/>
        <w:rPr>
          <w:snapToGrid/>
          <w:lang w:val="en-US"/>
        </w:rPr>
      </w:pPr>
    </w:p>
    <w:p w14:paraId="469CA292" w14:textId="77777777" w:rsidR="00800136" w:rsidRPr="00800136" w:rsidRDefault="00800136" w:rsidP="00800136">
      <w:pPr>
        <w:ind w:firstLine="360"/>
        <w:jc w:val="both"/>
        <w:rPr>
          <w:color w:val="000000"/>
          <w:sz w:val="20"/>
          <w:szCs w:val="22"/>
          <w:lang w:val="en-US"/>
        </w:rPr>
      </w:pPr>
    </w:p>
    <w:p w14:paraId="0AB3359F" w14:textId="29F0A06B" w:rsidR="00AD181C" w:rsidRPr="00E34FBD" w:rsidRDefault="00AD181C" w:rsidP="009271BC">
      <w:pPr>
        <w:pStyle w:val="ListParagraph"/>
        <w:numPr>
          <w:ilvl w:val="0"/>
          <w:numId w:val="26"/>
        </w:numPr>
        <w:ind w:left="720"/>
        <w:jc w:val="both"/>
        <w:rPr>
          <w:color w:val="000000"/>
          <w:sz w:val="22"/>
          <w:szCs w:val="22"/>
        </w:rPr>
      </w:pPr>
      <w:r w:rsidRPr="00E34FBD">
        <w:rPr>
          <w:sz w:val="22"/>
          <w:szCs w:val="22"/>
        </w:rPr>
        <w:t xml:space="preserve">Up-skilling and reskilling training </w:t>
      </w:r>
      <w:proofErr w:type="spellStart"/>
      <w:r w:rsidRPr="00E34FBD">
        <w:rPr>
          <w:sz w:val="22"/>
          <w:szCs w:val="22"/>
        </w:rPr>
        <w:t>programmes</w:t>
      </w:r>
      <w:proofErr w:type="spellEnd"/>
      <w:r w:rsidRPr="00E34FBD">
        <w:rPr>
          <w:sz w:val="22"/>
          <w:szCs w:val="22"/>
        </w:rPr>
        <w:t xml:space="preserve"> on industry standards</w:t>
      </w:r>
      <w:r w:rsidR="00481BEB">
        <w:rPr>
          <w:sz w:val="22"/>
          <w:szCs w:val="22"/>
        </w:rPr>
        <w:t>.</w:t>
      </w:r>
      <w:r w:rsidRPr="00E34FBD">
        <w:rPr>
          <w:sz w:val="22"/>
          <w:szCs w:val="22"/>
        </w:rPr>
        <w:t xml:space="preserve"> </w:t>
      </w:r>
    </w:p>
    <w:p w14:paraId="6B350CC6" w14:textId="048848F2" w:rsidR="004B1EDD" w:rsidRPr="00587D86" w:rsidRDefault="00587D86" w:rsidP="009271BC">
      <w:pPr>
        <w:pStyle w:val="ListParagraph"/>
        <w:numPr>
          <w:ilvl w:val="0"/>
          <w:numId w:val="26"/>
        </w:numPr>
        <w:ind w:left="720"/>
        <w:jc w:val="both"/>
        <w:rPr>
          <w:color w:val="000000"/>
          <w:sz w:val="22"/>
          <w:szCs w:val="22"/>
        </w:rPr>
      </w:pPr>
      <w:r>
        <w:rPr>
          <w:sz w:val="22"/>
          <w:szCs w:val="22"/>
        </w:rPr>
        <w:lastRenderedPageBreak/>
        <w:t>P</w:t>
      </w:r>
      <w:r w:rsidR="00AD181C" w:rsidRPr="00E34FBD">
        <w:rPr>
          <w:sz w:val="22"/>
          <w:szCs w:val="22"/>
        </w:rPr>
        <w:t>roduct development and market access for stakeholders working in the areas of culture and creative industries (engaged in handcrafts, festivals, music, theater, etc.), nature, sports, medical and wellness tourism to create new innovative products</w:t>
      </w:r>
      <w:r w:rsidR="004B1EDD">
        <w:rPr>
          <w:sz w:val="22"/>
          <w:szCs w:val="22"/>
        </w:rPr>
        <w:t>.</w:t>
      </w:r>
    </w:p>
    <w:p w14:paraId="2D25A8AA" w14:textId="56620D21" w:rsidR="004B1EDD" w:rsidRDefault="004B1EDD" w:rsidP="009271BC">
      <w:pPr>
        <w:pStyle w:val="ListParagraph"/>
        <w:numPr>
          <w:ilvl w:val="0"/>
          <w:numId w:val="26"/>
        </w:numPr>
        <w:ind w:left="720"/>
        <w:jc w:val="both"/>
        <w:rPr>
          <w:color w:val="000000"/>
          <w:sz w:val="22"/>
          <w:szCs w:val="22"/>
        </w:rPr>
      </w:pPr>
      <w:r w:rsidRPr="00587D86">
        <w:rPr>
          <w:color w:val="000000"/>
          <w:sz w:val="22"/>
          <w:szCs w:val="22"/>
        </w:rPr>
        <w:t xml:space="preserve">Create special </w:t>
      </w:r>
      <w:proofErr w:type="spellStart"/>
      <w:r w:rsidRPr="00587D86">
        <w:rPr>
          <w:color w:val="000000"/>
          <w:sz w:val="22"/>
          <w:szCs w:val="22"/>
        </w:rPr>
        <w:t>programmes</w:t>
      </w:r>
      <w:proofErr w:type="spellEnd"/>
      <w:r w:rsidRPr="00587D86">
        <w:rPr>
          <w:color w:val="000000"/>
          <w:sz w:val="22"/>
          <w:szCs w:val="22"/>
        </w:rPr>
        <w:t xml:space="preserve"> to support entrepreneurship in tourism</w:t>
      </w:r>
      <w:r w:rsidR="00F07FB7">
        <w:rPr>
          <w:color w:val="000000"/>
          <w:sz w:val="22"/>
          <w:szCs w:val="22"/>
        </w:rPr>
        <w:t xml:space="preserve"> </w:t>
      </w:r>
      <w:proofErr w:type="gramStart"/>
      <w:r w:rsidRPr="00587D86">
        <w:rPr>
          <w:color w:val="000000"/>
          <w:sz w:val="22"/>
          <w:szCs w:val="22"/>
        </w:rPr>
        <w:t>to further advance</w:t>
      </w:r>
      <w:proofErr w:type="gramEnd"/>
      <w:r w:rsidRPr="00587D86">
        <w:rPr>
          <w:color w:val="000000"/>
          <w:sz w:val="22"/>
          <w:szCs w:val="22"/>
        </w:rPr>
        <w:t xml:space="preserve"> innovation and digital transformation.</w:t>
      </w:r>
    </w:p>
    <w:p w14:paraId="29118611" w14:textId="6DF9AAE8" w:rsidR="004B1EDD" w:rsidRPr="00587D86" w:rsidRDefault="004B1EDD" w:rsidP="009271BC">
      <w:pPr>
        <w:pStyle w:val="ListParagraph"/>
        <w:numPr>
          <w:ilvl w:val="0"/>
          <w:numId w:val="26"/>
        </w:numPr>
        <w:ind w:left="720"/>
        <w:jc w:val="both"/>
        <w:rPr>
          <w:color w:val="000000"/>
          <w:sz w:val="22"/>
          <w:szCs w:val="22"/>
        </w:rPr>
      </w:pPr>
      <w:r>
        <w:rPr>
          <w:color w:val="000000"/>
          <w:sz w:val="22"/>
          <w:szCs w:val="22"/>
        </w:rPr>
        <w:t>I</w:t>
      </w:r>
      <w:r w:rsidRPr="004B1EDD">
        <w:rPr>
          <w:color w:val="000000"/>
          <w:sz w:val="22"/>
          <w:szCs w:val="22"/>
        </w:rPr>
        <w:t>ncentivize development in products, market segments and marketing activities that contribute to a more responsible and sustainable travel and tourism sector</w:t>
      </w:r>
      <w:r w:rsidR="004C71D4">
        <w:rPr>
          <w:color w:val="000000"/>
          <w:sz w:val="22"/>
          <w:szCs w:val="22"/>
        </w:rPr>
        <w:t>.</w:t>
      </w:r>
    </w:p>
    <w:p w14:paraId="6B5D925A" w14:textId="73B0088A" w:rsidR="00C2591A" w:rsidRPr="00F07FB7" w:rsidRDefault="00C2591A" w:rsidP="00F07FB7">
      <w:pPr>
        <w:pStyle w:val="ListParagraph"/>
        <w:numPr>
          <w:ilvl w:val="0"/>
          <w:numId w:val="26"/>
        </w:numPr>
        <w:ind w:left="720"/>
        <w:jc w:val="both"/>
        <w:rPr>
          <w:color w:val="000000"/>
          <w:sz w:val="22"/>
          <w:szCs w:val="22"/>
        </w:rPr>
      </w:pPr>
      <w:r w:rsidRPr="00F07FB7">
        <w:rPr>
          <w:color w:val="000000"/>
          <w:sz w:val="22"/>
          <w:szCs w:val="22"/>
        </w:rPr>
        <w:t>Transformation of the sector in a digital era (</w:t>
      </w:r>
      <w:r w:rsidR="00481BEB" w:rsidRPr="00F07FB7">
        <w:rPr>
          <w:color w:val="000000"/>
          <w:sz w:val="22"/>
          <w:szCs w:val="22"/>
        </w:rPr>
        <w:t>including d</w:t>
      </w:r>
      <w:r w:rsidRPr="00F07FB7">
        <w:rPr>
          <w:color w:val="000000"/>
          <w:sz w:val="22"/>
          <w:szCs w:val="22"/>
        </w:rPr>
        <w:t xml:space="preserve">igital and IT </w:t>
      </w:r>
      <w:r w:rsidR="00481BEB" w:rsidRPr="00F07FB7">
        <w:rPr>
          <w:color w:val="000000"/>
          <w:sz w:val="22"/>
          <w:szCs w:val="22"/>
        </w:rPr>
        <w:t>c</w:t>
      </w:r>
      <w:r w:rsidRPr="00F07FB7">
        <w:rPr>
          <w:color w:val="000000"/>
          <w:sz w:val="22"/>
          <w:szCs w:val="22"/>
        </w:rPr>
        <w:t xml:space="preserve">apacity </w:t>
      </w:r>
      <w:r w:rsidR="00481BEB" w:rsidRPr="00F07FB7">
        <w:rPr>
          <w:color w:val="000000"/>
          <w:sz w:val="22"/>
          <w:szCs w:val="22"/>
        </w:rPr>
        <w:t>b</w:t>
      </w:r>
      <w:r w:rsidRPr="00F07FB7">
        <w:rPr>
          <w:color w:val="000000"/>
          <w:sz w:val="22"/>
          <w:szCs w:val="22"/>
        </w:rPr>
        <w:t>uilding</w:t>
      </w:r>
      <w:r w:rsidR="00481BEB" w:rsidRPr="00F07FB7">
        <w:rPr>
          <w:color w:val="000000"/>
          <w:sz w:val="22"/>
          <w:szCs w:val="22"/>
        </w:rPr>
        <w:t xml:space="preserve"> and </w:t>
      </w:r>
      <w:r w:rsidR="00481BEB" w:rsidRPr="00F07FB7">
        <w:rPr>
          <w:sz w:val="22"/>
          <w:szCs w:val="22"/>
        </w:rPr>
        <w:t>Virtual Reality Technology and training</w:t>
      </w:r>
      <w:r w:rsidRPr="00F07FB7">
        <w:rPr>
          <w:color w:val="000000"/>
          <w:sz w:val="22"/>
          <w:szCs w:val="22"/>
        </w:rPr>
        <w:t>)</w:t>
      </w:r>
      <w:r w:rsidR="001D462E">
        <w:rPr>
          <w:color w:val="000000"/>
          <w:sz w:val="22"/>
          <w:szCs w:val="22"/>
        </w:rPr>
        <w:t>.</w:t>
      </w:r>
    </w:p>
    <w:p w14:paraId="7FC46746" w14:textId="2C2B46D4" w:rsidR="00C2591A" w:rsidRPr="00E34FBD" w:rsidRDefault="00C2591A" w:rsidP="009271BC">
      <w:pPr>
        <w:pStyle w:val="ListParagraph"/>
        <w:numPr>
          <w:ilvl w:val="0"/>
          <w:numId w:val="26"/>
        </w:numPr>
        <w:ind w:left="720"/>
        <w:jc w:val="both"/>
        <w:rPr>
          <w:color w:val="000000"/>
          <w:sz w:val="22"/>
          <w:szCs w:val="22"/>
        </w:rPr>
      </w:pPr>
      <w:r w:rsidRPr="00E34FBD">
        <w:rPr>
          <w:color w:val="000000"/>
          <w:sz w:val="22"/>
          <w:szCs w:val="22"/>
        </w:rPr>
        <w:t xml:space="preserve"> E-tourism activities during restriction periods and closed international borders</w:t>
      </w:r>
      <w:r w:rsidR="001D462E">
        <w:rPr>
          <w:color w:val="000000"/>
          <w:sz w:val="22"/>
          <w:szCs w:val="22"/>
        </w:rPr>
        <w:t>.</w:t>
      </w:r>
    </w:p>
    <w:p w14:paraId="2CBAEDE1" w14:textId="41E8D772" w:rsidR="00600AA4" w:rsidRPr="0041118B" w:rsidRDefault="00600AA4" w:rsidP="001D462E">
      <w:pPr>
        <w:pStyle w:val="ListParagraph"/>
        <w:jc w:val="both"/>
        <w:rPr>
          <w:sz w:val="22"/>
          <w:highlight w:val="yellow"/>
        </w:rPr>
      </w:pPr>
    </w:p>
    <w:p w14:paraId="6C32F166" w14:textId="6CB26263" w:rsidR="00CA04C7" w:rsidRPr="0041118B" w:rsidRDefault="00CA04C7" w:rsidP="00600AA4">
      <w:pPr>
        <w:pStyle w:val="BodyText"/>
        <w:tabs>
          <w:tab w:val="left" w:pos="720"/>
          <w:tab w:val="left" w:pos="1440"/>
          <w:tab w:val="left" w:pos="2160"/>
          <w:tab w:val="left" w:pos="2880"/>
        </w:tabs>
        <w:kinsoku w:val="0"/>
        <w:overflowPunct w:val="0"/>
        <w:spacing w:after="0"/>
        <w:ind w:right="118"/>
        <w:rPr>
          <w:snapToGrid/>
          <w:sz w:val="20"/>
          <w:lang w:val="en-US"/>
        </w:rPr>
      </w:pPr>
    </w:p>
    <w:p w14:paraId="1A44978C" w14:textId="77777777" w:rsidR="00600AA4" w:rsidRDefault="00600AA4" w:rsidP="00600AA4">
      <w:pPr>
        <w:pStyle w:val="BodyText"/>
        <w:numPr>
          <w:ilvl w:val="0"/>
          <w:numId w:val="24"/>
        </w:numPr>
        <w:tabs>
          <w:tab w:val="left" w:pos="720"/>
          <w:tab w:val="left" w:pos="1440"/>
          <w:tab w:val="left" w:pos="2160"/>
          <w:tab w:val="left" w:pos="2880"/>
        </w:tabs>
        <w:kinsoku w:val="0"/>
        <w:overflowPunct w:val="0"/>
        <w:spacing w:after="0"/>
        <w:ind w:right="118"/>
        <w:rPr>
          <w:b/>
          <w:lang w:val="en-US"/>
        </w:rPr>
      </w:pPr>
      <w:r w:rsidRPr="00134551">
        <w:rPr>
          <w:b/>
          <w:color w:val="000000"/>
          <w:lang w:val="en-US"/>
        </w:rPr>
        <w:t>Scientific</w:t>
      </w:r>
      <w:r w:rsidRPr="009413C0">
        <w:rPr>
          <w:b/>
          <w:bCs/>
          <w:lang w:val="en-US"/>
        </w:rPr>
        <w:t xml:space="preserve"> and technological innovation for building resilience</w:t>
      </w:r>
      <w:r w:rsidRPr="009413C0">
        <w:rPr>
          <w:b/>
          <w:lang w:val="en-US"/>
        </w:rPr>
        <w:t xml:space="preserve"> </w:t>
      </w:r>
    </w:p>
    <w:p w14:paraId="5476A249" w14:textId="77777777" w:rsidR="00600AA4" w:rsidRPr="009413C0" w:rsidRDefault="00600AA4" w:rsidP="00600AA4">
      <w:pPr>
        <w:pStyle w:val="BodyText"/>
        <w:tabs>
          <w:tab w:val="left" w:pos="720"/>
          <w:tab w:val="left" w:pos="1440"/>
          <w:tab w:val="left" w:pos="2160"/>
          <w:tab w:val="left" w:pos="2880"/>
        </w:tabs>
        <w:kinsoku w:val="0"/>
        <w:overflowPunct w:val="0"/>
        <w:spacing w:after="0"/>
        <w:ind w:left="720" w:right="118"/>
        <w:rPr>
          <w:b/>
          <w:lang w:val="en-US"/>
        </w:rPr>
      </w:pPr>
    </w:p>
    <w:p w14:paraId="663CAED9" w14:textId="77777777" w:rsidR="00600AA4" w:rsidRPr="005456DF" w:rsidRDefault="00600AA4" w:rsidP="001D462E">
      <w:pPr>
        <w:ind w:firstLine="720"/>
        <w:jc w:val="both"/>
        <w:rPr>
          <w:sz w:val="22"/>
          <w:szCs w:val="22"/>
          <w:lang w:val="en-US"/>
        </w:rPr>
      </w:pPr>
      <w:r w:rsidRPr="005456DF">
        <w:rPr>
          <w:sz w:val="22"/>
          <w:szCs w:val="22"/>
          <w:lang w:val="en-US"/>
        </w:rPr>
        <w:t xml:space="preserve">As governments in the region design and implement strategies to emerge from the crises generated by the COVID-19 pandemic, the imperative of building </w:t>
      </w:r>
      <w:proofErr w:type="gramStart"/>
      <w:r w:rsidRPr="005456DF">
        <w:rPr>
          <w:sz w:val="22"/>
          <w:szCs w:val="22"/>
          <w:lang w:val="en-US"/>
        </w:rPr>
        <w:t>more resilient economic, social, and environmental systems</w:t>
      </w:r>
      <w:proofErr w:type="gramEnd"/>
      <w:r w:rsidRPr="005456DF">
        <w:rPr>
          <w:sz w:val="22"/>
          <w:szCs w:val="22"/>
          <w:lang w:val="en-US"/>
        </w:rPr>
        <w:t xml:space="preserve"> has never been more urgent. In that regard, the pandemic has also provided evidence of the power of science and technological innovation to create solutions to emerging problems. </w:t>
      </w:r>
    </w:p>
    <w:p w14:paraId="410C9CFD" w14:textId="77777777" w:rsidR="00600AA4" w:rsidRPr="005456DF" w:rsidRDefault="00600AA4" w:rsidP="00600AA4">
      <w:pPr>
        <w:ind w:firstLine="360"/>
        <w:jc w:val="both"/>
        <w:rPr>
          <w:sz w:val="22"/>
          <w:szCs w:val="22"/>
          <w:lang w:val="en-US"/>
        </w:rPr>
      </w:pPr>
    </w:p>
    <w:p w14:paraId="1BEF6DCE" w14:textId="77777777" w:rsidR="00600AA4"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r>
        <w:rPr>
          <w:lang w:val="en-US"/>
        </w:rPr>
        <w:tab/>
      </w:r>
      <w:r w:rsidRPr="00D635FC">
        <w:rPr>
          <w:color w:val="000000"/>
          <w:lang w:val="en-US"/>
        </w:rPr>
        <w:t>Science, technology and innovation contribute to resilience by: empowering and giving a voice to people, including the most vulnerable; extending access to education and health; making possible the monitoring of environmental risks; connecting people; and enabling the development of early warning systems</w:t>
      </w:r>
      <w:r>
        <w:rPr>
          <w:color w:val="000000"/>
          <w:lang w:val="en-US"/>
        </w:rPr>
        <w:t xml:space="preserve"> (UNCTAD, 2019)</w:t>
      </w:r>
      <w:r>
        <w:rPr>
          <w:rStyle w:val="FootnoteReference"/>
          <w:color w:val="000000"/>
          <w:lang w:val="en-US"/>
        </w:rPr>
        <w:footnoteReference w:id="10"/>
      </w:r>
      <w:r w:rsidRPr="00D635FC">
        <w:rPr>
          <w:color w:val="000000"/>
          <w:lang w:val="en-US"/>
        </w:rPr>
        <w:t>.</w:t>
      </w:r>
    </w:p>
    <w:p w14:paraId="4B542DC9" w14:textId="77777777" w:rsidR="00600AA4"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p>
    <w:p w14:paraId="776D4977" w14:textId="77777777" w:rsidR="00600AA4"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r>
        <w:rPr>
          <w:color w:val="000000"/>
          <w:lang w:val="en-US"/>
        </w:rPr>
        <w:tab/>
      </w:r>
      <w:r w:rsidRPr="00462417">
        <w:rPr>
          <w:lang w:val="en-US"/>
        </w:rPr>
        <w:t xml:space="preserve">Diverse fields of scientific knowledge contribute directly and indirectly to building resilient communities, from scientific discoveries in biology and medicine that uncover new mechanisms of the transmission of diseases, to advances in weather prediction model that increase the </w:t>
      </w:r>
      <w:r w:rsidRPr="00462417">
        <w:rPr>
          <w:lang w:val="en-US"/>
        </w:rPr>
        <w:lastRenderedPageBreak/>
        <w:t>reliability of early warning systems</w:t>
      </w:r>
      <w:r>
        <w:rPr>
          <w:rStyle w:val="FootnoteReference"/>
          <w:lang w:val="en-US"/>
        </w:rPr>
        <w:footnoteReference w:id="11"/>
      </w:r>
      <w:r w:rsidRPr="00462417">
        <w:rPr>
          <w:lang w:val="en-US"/>
        </w:rPr>
        <w:t>. Technological innovation not only opens new opportunities to solve key problems societies are confronting, but also reduces chronic gaps in productivity, growth, and poverty levels</w:t>
      </w:r>
      <w:r>
        <w:rPr>
          <w:lang w:val="en-US"/>
        </w:rPr>
        <w:t>.</w:t>
      </w:r>
      <w:r>
        <w:rPr>
          <w:color w:val="000000"/>
          <w:lang w:val="en-US"/>
        </w:rPr>
        <w:tab/>
      </w:r>
    </w:p>
    <w:p w14:paraId="36A84514" w14:textId="77777777" w:rsidR="00600AA4" w:rsidRDefault="00600AA4" w:rsidP="00600AA4">
      <w:pPr>
        <w:pStyle w:val="BodyText"/>
        <w:tabs>
          <w:tab w:val="left" w:pos="720"/>
          <w:tab w:val="left" w:pos="1440"/>
          <w:tab w:val="left" w:pos="2160"/>
          <w:tab w:val="left" w:pos="2880"/>
        </w:tabs>
        <w:kinsoku w:val="0"/>
        <w:overflowPunct w:val="0"/>
        <w:spacing w:after="0"/>
        <w:ind w:right="118"/>
        <w:rPr>
          <w:lang w:val="en-US"/>
        </w:rPr>
      </w:pPr>
    </w:p>
    <w:p w14:paraId="706EEB00" w14:textId="77777777" w:rsidR="00600AA4"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r>
        <w:rPr>
          <w:lang w:val="en-US"/>
        </w:rPr>
        <w:tab/>
        <w:t>P</w:t>
      </w:r>
      <w:r w:rsidRPr="00462417">
        <w:rPr>
          <w:color w:val="000000"/>
          <w:lang w:val="en-US"/>
        </w:rPr>
        <w:t>rograms in this area would focus on strengthening scientific development, sharing and transfer of technology, furthering international scientific cooperation</w:t>
      </w:r>
      <w:r>
        <w:rPr>
          <w:color w:val="000000"/>
          <w:lang w:val="en-US"/>
        </w:rPr>
        <w:t xml:space="preserve"> and</w:t>
      </w:r>
      <w:r w:rsidRPr="00462417">
        <w:rPr>
          <w:color w:val="000000"/>
          <w:lang w:val="en-US"/>
        </w:rPr>
        <w:t xml:space="preserve"> research to support the recovery process</w:t>
      </w:r>
      <w:r>
        <w:rPr>
          <w:color w:val="000000"/>
          <w:lang w:val="en-US"/>
        </w:rPr>
        <w:t xml:space="preserve"> in line with the priorities identified by OAS Member States in the context of the Inter-American Committee of Science and Technology (COMCYT).</w:t>
      </w:r>
    </w:p>
    <w:p w14:paraId="6A3A5DED" w14:textId="77777777" w:rsidR="00600AA4"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p>
    <w:p w14:paraId="2C579F9D" w14:textId="0CD38190" w:rsidR="00481BEB"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r>
        <w:rPr>
          <w:color w:val="000000"/>
          <w:lang w:val="en-US"/>
        </w:rPr>
        <w:tab/>
      </w:r>
      <w:r w:rsidR="00481BEB">
        <w:rPr>
          <w:color w:val="000000"/>
          <w:lang w:val="en-US"/>
        </w:rPr>
        <w:t>T</w:t>
      </w:r>
      <w:r w:rsidR="00481BEB" w:rsidRPr="00E34FBD">
        <w:rPr>
          <w:snapToGrid/>
          <w:lang w:val="en-US"/>
        </w:rPr>
        <w:t>h</w:t>
      </w:r>
      <w:r w:rsidR="00481BEB">
        <w:rPr>
          <w:snapToGrid/>
          <w:lang w:val="en-US"/>
        </w:rPr>
        <w:t>e</w:t>
      </w:r>
      <w:r w:rsidR="00481BEB" w:rsidRPr="00E34FBD">
        <w:rPr>
          <w:snapToGrid/>
          <w:lang w:val="en-US"/>
        </w:rPr>
        <w:t xml:space="preserve"> </w:t>
      </w:r>
      <w:r>
        <w:rPr>
          <w:color w:val="000000"/>
          <w:lang w:val="en-US"/>
        </w:rPr>
        <w:t>COMCYT identified the following regional priorities to harness the power of transformative science and technology</w:t>
      </w:r>
      <w:r w:rsidR="00481BEB">
        <w:rPr>
          <w:color w:val="000000"/>
          <w:lang w:val="en-US"/>
        </w:rPr>
        <w:t xml:space="preserve">, which </w:t>
      </w:r>
      <w:proofErr w:type="gramStart"/>
      <w:r w:rsidR="00481BEB">
        <w:rPr>
          <w:color w:val="000000"/>
          <w:lang w:val="en-US"/>
        </w:rPr>
        <w:t>are proposed</w:t>
      </w:r>
      <w:proofErr w:type="gramEnd"/>
      <w:r w:rsidR="00481BEB">
        <w:rPr>
          <w:color w:val="000000"/>
          <w:lang w:val="en-US"/>
        </w:rPr>
        <w:t xml:space="preserve"> as areas of focus</w:t>
      </w:r>
      <w:r>
        <w:rPr>
          <w:color w:val="000000"/>
          <w:lang w:val="en-US"/>
        </w:rPr>
        <w:t xml:space="preserve">: </w:t>
      </w:r>
    </w:p>
    <w:p w14:paraId="137B6EC0" w14:textId="77777777" w:rsidR="00610462" w:rsidRPr="0041118B" w:rsidRDefault="00610462" w:rsidP="00600AA4">
      <w:pPr>
        <w:pStyle w:val="BodyText"/>
        <w:tabs>
          <w:tab w:val="left" w:pos="720"/>
          <w:tab w:val="left" w:pos="1440"/>
          <w:tab w:val="left" w:pos="2160"/>
          <w:tab w:val="left" w:pos="2880"/>
        </w:tabs>
        <w:kinsoku w:val="0"/>
        <w:overflowPunct w:val="0"/>
        <w:spacing w:after="0"/>
        <w:ind w:right="118"/>
        <w:rPr>
          <w:color w:val="000000"/>
          <w:lang w:val="en-US"/>
        </w:rPr>
      </w:pPr>
    </w:p>
    <w:p w14:paraId="20133354" w14:textId="754159B0" w:rsidR="00481BEB" w:rsidRPr="0065063E" w:rsidRDefault="00600AA4" w:rsidP="0065063E">
      <w:pPr>
        <w:pStyle w:val="ListParagraph"/>
        <w:numPr>
          <w:ilvl w:val="0"/>
          <w:numId w:val="26"/>
        </w:numPr>
        <w:ind w:left="720"/>
        <w:jc w:val="both"/>
        <w:rPr>
          <w:sz w:val="22"/>
          <w:szCs w:val="22"/>
        </w:rPr>
      </w:pPr>
      <w:r w:rsidRPr="0065063E">
        <w:rPr>
          <w:sz w:val="22"/>
          <w:szCs w:val="22"/>
        </w:rPr>
        <w:t>Science and Technology to Build Resiliency in the framework of Sustainable Development</w:t>
      </w:r>
    </w:p>
    <w:p w14:paraId="7DDBE759" w14:textId="671AB404" w:rsidR="00481BEB" w:rsidRPr="0065063E" w:rsidRDefault="00B03148" w:rsidP="0065063E">
      <w:pPr>
        <w:pStyle w:val="ListParagraph"/>
        <w:numPr>
          <w:ilvl w:val="0"/>
          <w:numId w:val="26"/>
        </w:numPr>
        <w:ind w:left="720"/>
        <w:jc w:val="both"/>
        <w:rPr>
          <w:sz w:val="22"/>
          <w:szCs w:val="22"/>
        </w:rPr>
      </w:pPr>
      <w:r w:rsidRPr="0065063E">
        <w:rPr>
          <w:sz w:val="22"/>
          <w:szCs w:val="22"/>
        </w:rPr>
        <w:t xml:space="preserve">Access to technology to expand and strengthen resilient and online higher education; </w:t>
      </w:r>
    </w:p>
    <w:p w14:paraId="6754DB42" w14:textId="0678D9B2" w:rsidR="00481BEB" w:rsidRPr="0065063E" w:rsidRDefault="00600AA4" w:rsidP="0065063E">
      <w:pPr>
        <w:pStyle w:val="ListParagraph"/>
        <w:numPr>
          <w:ilvl w:val="0"/>
          <w:numId w:val="26"/>
        </w:numPr>
        <w:ind w:left="720"/>
        <w:jc w:val="both"/>
        <w:rPr>
          <w:sz w:val="22"/>
          <w:szCs w:val="22"/>
        </w:rPr>
      </w:pPr>
      <w:r w:rsidRPr="0065063E">
        <w:rPr>
          <w:sz w:val="22"/>
          <w:szCs w:val="22"/>
        </w:rPr>
        <w:t xml:space="preserve">Youth: Improving Skills and Readiness for Industry 4.0 </w:t>
      </w:r>
    </w:p>
    <w:p w14:paraId="0160E1DB" w14:textId="1F372813" w:rsidR="00481BEB" w:rsidRPr="0065063E" w:rsidRDefault="00600AA4" w:rsidP="0065063E">
      <w:pPr>
        <w:pStyle w:val="ListParagraph"/>
        <w:numPr>
          <w:ilvl w:val="0"/>
          <w:numId w:val="26"/>
        </w:numPr>
        <w:ind w:left="720"/>
        <w:jc w:val="both"/>
        <w:rPr>
          <w:sz w:val="22"/>
          <w:szCs w:val="22"/>
        </w:rPr>
      </w:pPr>
      <w:r w:rsidRPr="0065063E">
        <w:rPr>
          <w:sz w:val="22"/>
          <w:szCs w:val="22"/>
        </w:rPr>
        <w:t xml:space="preserve">Science, Technology, Innovation and Entrepreneurship to promote the inclusion of women and girls and other populations in vulnerable situations; </w:t>
      </w:r>
    </w:p>
    <w:p w14:paraId="17B15710" w14:textId="58E3B5A7" w:rsidR="00481BEB" w:rsidRPr="0065063E" w:rsidRDefault="00600AA4" w:rsidP="0065063E">
      <w:pPr>
        <w:pStyle w:val="ListParagraph"/>
        <w:numPr>
          <w:ilvl w:val="0"/>
          <w:numId w:val="26"/>
        </w:numPr>
        <w:ind w:left="720"/>
        <w:jc w:val="both"/>
        <w:rPr>
          <w:sz w:val="22"/>
          <w:szCs w:val="22"/>
        </w:rPr>
      </w:pPr>
      <w:r w:rsidRPr="0065063E">
        <w:rPr>
          <w:sz w:val="22"/>
          <w:szCs w:val="22"/>
        </w:rPr>
        <w:t xml:space="preserve">Effective public-private-academia collaboration to enhance competitiveness and quality of life; and, </w:t>
      </w:r>
    </w:p>
    <w:p w14:paraId="6993B51C" w14:textId="288D5FBC" w:rsidR="00481BEB" w:rsidRPr="0065063E" w:rsidRDefault="00600AA4" w:rsidP="0065063E">
      <w:pPr>
        <w:pStyle w:val="ListParagraph"/>
        <w:numPr>
          <w:ilvl w:val="0"/>
          <w:numId w:val="26"/>
        </w:numPr>
        <w:ind w:left="720"/>
        <w:jc w:val="both"/>
        <w:rPr>
          <w:sz w:val="22"/>
          <w:szCs w:val="22"/>
        </w:rPr>
      </w:pPr>
      <w:r w:rsidRPr="0065063E">
        <w:rPr>
          <w:sz w:val="22"/>
          <w:szCs w:val="22"/>
        </w:rPr>
        <w:t>Technology Foresight as Input for Public Policy Decisions.</w:t>
      </w:r>
      <w:r w:rsidRPr="0065063E">
        <w:rPr>
          <w:sz w:val="22"/>
          <w:szCs w:val="22"/>
          <w:vertAlign w:val="superscript"/>
        </w:rPr>
        <w:footnoteReference w:id="12"/>
      </w:r>
      <w:r w:rsidRPr="0065063E">
        <w:rPr>
          <w:sz w:val="22"/>
          <w:szCs w:val="22"/>
          <w:vertAlign w:val="superscript"/>
        </w:rPr>
        <w:t xml:space="preserve"> </w:t>
      </w:r>
    </w:p>
    <w:p w14:paraId="78C28E2B" w14:textId="77777777" w:rsidR="00481BEB" w:rsidRDefault="00481BEB" w:rsidP="00600AA4">
      <w:pPr>
        <w:pStyle w:val="BodyText"/>
        <w:tabs>
          <w:tab w:val="left" w:pos="720"/>
          <w:tab w:val="left" w:pos="1440"/>
          <w:tab w:val="left" w:pos="2160"/>
          <w:tab w:val="left" w:pos="2880"/>
        </w:tabs>
        <w:kinsoku w:val="0"/>
        <w:overflowPunct w:val="0"/>
        <w:spacing w:after="0"/>
        <w:ind w:right="118"/>
        <w:rPr>
          <w:color w:val="000000"/>
          <w:lang w:val="en-US"/>
        </w:rPr>
      </w:pPr>
    </w:p>
    <w:p w14:paraId="5C3241E9" w14:textId="6297E895" w:rsidR="00600AA4" w:rsidRPr="00506A05"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r>
        <w:rPr>
          <w:color w:val="000000"/>
          <w:lang w:val="en-US"/>
        </w:rPr>
        <w:t xml:space="preserve">COMCYT Authorities also agreed to extend the Work Plan of COMCYT through 2021 and to give priority to programs and actions in the Work Plan that support </w:t>
      </w:r>
      <w:r w:rsidRPr="002976BD">
        <w:rPr>
          <w:rFonts w:eastAsia="Calibri"/>
          <w:lang w:val="en-US"/>
        </w:rPr>
        <w:t>the application of science, technology and innovation in the response to and recovery from the COVID-19 pandemic</w:t>
      </w:r>
      <w:r>
        <w:rPr>
          <w:rStyle w:val="FootnoteReference"/>
          <w:color w:val="000000"/>
          <w:lang w:val="en-US"/>
        </w:rPr>
        <w:footnoteReference w:id="13"/>
      </w:r>
      <w:r w:rsidR="00506A05">
        <w:rPr>
          <w:rFonts w:eastAsia="Calibri"/>
          <w:lang w:val="en-US"/>
        </w:rPr>
        <w:t xml:space="preserve">. </w:t>
      </w:r>
    </w:p>
    <w:p w14:paraId="0F17684E" w14:textId="77777777" w:rsidR="00600AA4" w:rsidRPr="002976BD"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p>
    <w:p w14:paraId="100937F4" w14:textId="77777777" w:rsidR="00600AA4" w:rsidRPr="00462417" w:rsidRDefault="00600AA4" w:rsidP="00600AA4">
      <w:pPr>
        <w:pStyle w:val="BodyText"/>
        <w:tabs>
          <w:tab w:val="left" w:pos="720"/>
          <w:tab w:val="left" w:pos="1440"/>
          <w:tab w:val="left" w:pos="2160"/>
          <w:tab w:val="left" w:pos="2880"/>
        </w:tabs>
        <w:kinsoku w:val="0"/>
        <w:overflowPunct w:val="0"/>
        <w:spacing w:after="0"/>
        <w:ind w:right="118"/>
        <w:rPr>
          <w:color w:val="000000"/>
          <w:lang w:val="en-US"/>
        </w:rPr>
      </w:pPr>
    </w:p>
    <w:p w14:paraId="4CB44748" w14:textId="77777777" w:rsidR="00600AA4" w:rsidRPr="002976BD" w:rsidRDefault="00600AA4" w:rsidP="00600AA4">
      <w:pPr>
        <w:pStyle w:val="BodyText"/>
        <w:numPr>
          <w:ilvl w:val="0"/>
          <w:numId w:val="24"/>
        </w:numPr>
        <w:tabs>
          <w:tab w:val="left" w:pos="720"/>
          <w:tab w:val="left" w:pos="1440"/>
          <w:tab w:val="left" w:pos="2160"/>
          <w:tab w:val="left" w:pos="2880"/>
        </w:tabs>
        <w:kinsoku w:val="0"/>
        <w:overflowPunct w:val="0"/>
        <w:spacing w:after="0"/>
        <w:ind w:right="118"/>
        <w:rPr>
          <w:b/>
          <w:color w:val="000000"/>
          <w:lang w:val="en-US"/>
        </w:rPr>
      </w:pPr>
      <w:r w:rsidRPr="002976BD">
        <w:rPr>
          <w:b/>
          <w:bCs/>
          <w:lang w:val="en-US"/>
        </w:rPr>
        <w:t xml:space="preserve">Science for decision making in disaster risk planning </w:t>
      </w:r>
    </w:p>
    <w:p w14:paraId="3B1F8579" w14:textId="77777777" w:rsidR="00600AA4" w:rsidRPr="005456DF" w:rsidRDefault="00600AA4" w:rsidP="00600AA4">
      <w:pPr>
        <w:jc w:val="both"/>
        <w:rPr>
          <w:color w:val="000000"/>
          <w:sz w:val="22"/>
          <w:szCs w:val="22"/>
          <w:lang w:val="en-US"/>
        </w:rPr>
      </w:pPr>
    </w:p>
    <w:p w14:paraId="43505783" w14:textId="77777777" w:rsidR="00600AA4" w:rsidRPr="005456DF" w:rsidRDefault="00600AA4" w:rsidP="008355A9">
      <w:pPr>
        <w:ind w:firstLine="720"/>
        <w:jc w:val="both"/>
        <w:rPr>
          <w:color w:val="000000"/>
          <w:sz w:val="22"/>
          <w:szCs w:val="22"/>
          <w:lang w:val="en-US"/>
        </w:rPr>
      </w:pPr>
      <w:r w:rsidRPr="005456DF">
        <w:rPr>
          <w:color w:val="000000"/>
          <w:sz w:val="22"/>
          <w:szCs w:val="22"/>
          <w:lang w:val="en-US"/>
        </w:rPr>
        <w:t xml:space="preserve">Covid-19 has reinforced the importance of evidence-based </w:t>
      </w:r>
      <w:proofErr w:type="gramStart"/>
      <w:r w:rsidRPr="005456DF">
        <w:rPr>
          <w:color w:val="000000"/>
          <w:sz w:val="22"/>
          <w:szCs w:val="22"/>
          <w:lang w:val="en-US"/>
        </w:rPr>
        <w:t>decision making</w:t>
      </w:r>
      <w:proofErr w:type="gramEnd"/>
      <w:r w:rsidRPr="005456DF">
        <w:rPr>
          <w:color w:val="000000"/>
          <w:sz w:val="22"/>
          <w:szCs w:val="22"/>
          <w:lang w:val="en-US"/>
        </w:rPr>
        <w:t xml:space="preserve"> not only in managing the Pandemic but in also in the management of the social and economic recovery.  As Member States prepare for a possible co-mingling of the Pandemic with other rapid-onset disaster like hurricanes and slow on-set disasters like climate change, the need for policy making that is based on science-natural, environmental, social, economic, health, engineering--and evidence has never been more urgent. </w:t>
      </w:r>
    </w:p>
    <w:p w14:paraId="7C3A0D49" w14:textId="77777777" w:rsidR="00600AA4" w:rsidRPr="005456DF" w:rsidRDefault="00600AA4" w:rsidP="00600AA4">
      <w:pPr>
        <w:ind w:firstLine="360"/>
        <w:jc w:val="both"/>
        <w:rPr>
          <w:color w:val="000000"/>
          <w:sz w:val="22"/>
          <w:szCs w:val="22"/>
          <w:lang w:val="en-US"/>
        </w:rPr>
      </w:pPr>
    </w:p>
    <w:p w14:paraId="5A1C9B69" w14:textId="77777777" w:rsidR="00600AA4" w:rsidRPr="005456DF" w:rsidRDefault="00600AA4" w:rsidP="008355A9">
      <w:pPr>
        <w:ind w:firstLine="720"/>
        <w:jc w:val="both"/>
        <w:rPr>
          <w:color w:val="000000"/>
          <w:sz w:val="22"/>
          <w:szCs w:val="22"/>
          <w:lang w:val="en-US"/>
        </w:rPr>
      </w:pPr>
      <w:r w:rsidRPr="005456DF">
        <w:rPr>
          <w:color w:val="000000"/>
          <w:sz w:val="22"/>
          <w:szCs w:val="22"/>
          <w:lang w:val="en-US"/>
        </w:rPr>
        <w:t xml:space="preserve">The success of evidence-based decision-making depends on the processes that support it. An inter-disciplinary approach is required in the generation of the science; and inclusive and participatory approaches to decision-making </w:t>
      </w:r>
      <w:proofErr w:type="gramStart"/>
      <w:r w:rsidRPr="005456DF">
        <w:rPr>
          <w:color w:val="000000"/>
          <w:sz w:val="22"/>
          <w:szCs w:val="22"/>
          <w:lang w:val="en-US"/>
        </w:rPr>
        <w:t>is also</w:t>
      </w:r>
      <w:proofErr w:type="gramEnd"/>
      <w:r w:rsidRPr="005456DF">
        <w:rPr>
          <w:color w:val="000000"/>
          <w:sz w:val="22"/>
          <w:szCs w:val="22"/>
          <w:lang w:val="en-US"/>
        </w:rPr>
        <w:t xml:space="preserve"> needed.  Noteworthy innovations such as geospatial information technologies, drone technology, early warning systems and knowledge-sharing platforms have emerged in </w:t>
      </w:r>
      <w:proofErr w:type="gramStart"/>
      <w:r w:rsidRPr="005456DF">
        <w:rPr>
          <w:color w:val="000000"/>
          <w:sz w:val="22"/>
          <w:szCs w:val="22"/>
          <w:lang w:val="en-US"/>
        </w:rPr>
        <w:t>these</w:t>
      </w:r>
      <w:proofErr w:type="gramEnd"/>
      <w:r w:rsidRPr="005456DF">
        <w:rPr>
          <w:color w:val="000000"/>
          <w:sz w:val="22"/>
          <w:szCs w:val="22"/>
          <w:lang w:val="en-US"/>
        </w:rPr>
        <w:t xml:space="preserve"> areas that must be sustained and built upon. Enhanced investment </w:t>
      </w:r>
      <w:proofErr w:type="gramStart"/>
      <w:r w:rsidRPr="005456DF">
        <w:rPr>
          <w:color w:val="000000"/>
          <w:sz w:val="22"/>
          <w:szCs w:val="22"/>
          <w:lang w:val="en-US"/>
        </w:rPr>
        <w:t>is needed</w:t>
      </w:r>
      <w:proofErr w:type="gramEnd"/>
      <w:r w:rsidRPr="005456DF">
        <w:rPr>
          <w:color w:val="000000"/>
          <w:sz w:val="22"/>
          <w:szCs w:val="22"/>
          <w:lang w:val="en-US"/>
        </w:rPr>
        <w:t xml:space="preserve"> in these and other areas that help to eliminate barriers to the use of science and technology in scaling-up disaster resilience. </w:t>
      </w:r>
    </w:p>
    <w:p w14:paraId="1682E895" w14:textId="77777777" w:rsidR="00600AA4" w:rsidRPr="005456DF" w:rsidRDefault="00600AA4" w:rsidP="00600AA4">
      <w:pPr>
        <w:ind w:firstLine="360"/>
        <w:jc w:val="both"/>
        <w:rPr>
          <w:color w:val="000000"/>
          <w:sz w:val="22"/>
          <w:szCs w:val="22"/>
          <w:lang w:val="en-US"/>
        </w:rPr>
      </w:pPr>
    </w:p>
    <w:p w14:paraId="37216303" w14:textId="77777777" w:rsidR="00600AA4" w:rsidRPr="005456DF" w:rsidRDefault="00600AA4" w:rsidP="00600AA4">
      <w:pPr>
        <w:ind w:firstLine="360"/>
        <w:jc w:val="both"/>
        <w:rPr>
          <w:color w:val="000000"/>
          <w:sz w:val="22"/>
          <w:szCs w:val="22"/>
          <w:lang w:val="en-US"/>
        </w:rPr>
      </w:pPr>
      <w:r w:rsidRPr="005456DF">
        <w:rPr>
          <w:color w:val="000000"/>
          <w:sz w:val="22"/>
          <w:szCs w:val="22"/>
          <w:lang w:val="en-US"/>
        </w:rPr>
        <w:t>Against this background, a focus on the following areas are proposed:</w:t>
      </w:r>
    </w:p>
    <w:p w14:paraId="16E03D7D" w14:textId="77777777" w:rsidR="00600AA4" w:rsidRPr="005456DF" w:rsidRDefault="00600AA4" w:rsidP="00600AA4">
      <w:pPr>
        <w:ind w:firstLine="360"/>
        <w:jc w:val="both"/>
        <w:rPr>
          <w:color w:val="000000"/>
          <w:sz w:val="22"/>
          <w:szCs w:val="22"/>
          <w:lang w:val="en-US"/>
        </w:rPr>
      </w:pPr>
    </w:p>
    <w:p w14:paraId="33A39E42"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Research into disaster-resilient material and infrastructure design, standards, and application (disaster metrology)</w:t>
      </w:r>
    </w:p>
    <w:p w14:paraId="26FB0625"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Institutional strengthening and capacity building in the use of GIS and remote sensing</w:t>
      </w:r>
    </w:p>
    <w:p w14:paraId="07278DD1"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Capacity building in post-disaster assessments with a focus on “building back better.”</w:t>
      </w:r>
    </w:p>
    <w:p w14:paraId="13782C46"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Capacity building in Community-Based Disaster Risk Reduction including hazard mapping and vulnerability assessments</w:t>
      </w:r>
    </w:p>
    <w:p w14:paraId="04472664"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Design and use of early warning systems</w:t>
      </w:r>
    </w:p>
    <w:p w14:paraId="38987D35"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Logistics management</w:t>
      </w:r>
    </w:p>
    <w:p w14:paraId="4D081A8B"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Resilient agriculture</w:t>
      </w:r>
    </w:p>
    <w:p w14:paraId="4AEF1A7E"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 xml:space="preserve">Integrated Hazard Risk Management </w:t>
      </w:r>
    </w:p>
    <w:p w14:paraId="51D81F00" w14:textId="77777777" w:rsidR="00600AA4" w:rsidRPr="00CC4C56" w:rsidRDefault="00600AA4" w:rsidP="009271BC">
      <w:pPr>
        <w:pStyle w:val="ListParagraph"/>
        <w:numPr>
          <w:ilvl w:val="1"/>
          <w:numId w:val="28"/>
        </w:numPr>
        <w:ind w:left="720"/>
        <w:jc w:val="both"/>
        <w:rPr>
          <w:color w:val="000000"/>
          <w:sz w:val="22"/>
          <w:szCs w:val="22"/>
        </w:rPr>
      </w:pPr>
      <w:r w:rsidRPr="00CC4C56">
        <w:rPr>
          <w:color w:val="000000"/>
          <w:sz w:val="22"/>
          <w:szCs w:val="22"/>
        </w:rPr>
        <w:t>Citizen resilience</w:t>
      </w:r>
    </w:p>
    <w:p w14:paraId="6B2A2AEC" w14:textId="77777777" w:rsidR="00600AA4" w:rsidRDefault="00600AA4" w:rsidP="00600AA4">
      <w:pPr>
        <w:ind w:firstLine="360"/>
        <w:jc w:val="both"/>
        <w:rPr>
          <w:color w:val="000000"/>
          <w:sz w:val="22"/>
          <w:szCs w:val="22"/>
        </w:rPr>
      </w:pPr>
    </w:p>
    <w:p w14:paraId="4BBD9D77" w14:textId="77777777" w:rsidR="007D01F2" w:rsidRPr="0044135B" w:rsidRDefault="005456DF" w:rsidP="001D2F4E">
      <w:pPr>
        <w:jc w:val="both"/>
        <w:rPr>
          <w:color w:val="000000"/>
          <w:szCs w:val="22"/>
          <w:lang w:val="en-US"/>
        </w:rPr>
      </w:pPr>
      <w:r>
        <w:rPr>
          <w:noProof/>
          <w:color w:val="000000"/>
          <w:szCs w:val="22"/>
          <w:lang w:val="en-US" w:eastAsia="en-US"/>
        </w:rPr>
        <w:lastRenderedPageBreak/>
        <mc:AlternateContent>
          <mc:Choice Requires="wps">
            <w:drawing>
              <wp:anchor distT="0" distB="0" distL="114300" distR="114300" simplePos="0" relativeHeight="251657728" behindDoc="0" locked="1" layoutInCell="1" allowOverlap="1" wp14:anchorId="444EB047" wp14:editId="19CD69AA">
                <wp:simplePos x="0" y="0"/>
                <wp:positionH relativeFrom="column">
                  <wp:posOffset>-167640</wp:posOffset>
                </wp:positionH>
                <wp:positionV relativeFrom="page">
                  <wp:posOffset>9372600</wp:posOffset>
                </wp:positionV>
                <wp:extent cx="3383280" cy="2286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C8C664" w14:textId="2B7719F2" w:rsidR="00A67216" w:rsidRPr="00A56527" w:rsidRDefault="00A67216" w:rsidP="007D01F2">
                            <w:pPr>
                              <w:rPr>
                                <w:sz w:val="18"/>
                              </w:rPr>
                            </w:pPr>
                            <w:r w:rsidRPr="00A2795E">
                              <w:rPr>
                                <w:sz w:val="18"/>
                              </w:rPr>
                              <w:fldChar w:fldCharType="begin"/>
                            </w:r>
                            <w:r w:rsidRPr="00A2795E">
                              <w:rPr>
                                <w:sz w:val="18"/>
                              </w:rPr>
                              <w:instrText xml:space="preserve"> FILENAME  \* MERGEFORMAT </w:instrText>
                            </w:r>
                            <w:r w:rsidRPr="00A2795E">
                              <w:rPr>
                                <w:sz w:val="18"/>
                              </w:rPr>
                              <w:fldChar w:fldCharType="separate"/>
                            </w:r>
                            <w:r w:rsidR="00100FDF">
                              <w:rPr>
                                <w:noProof/>
                                <w:sz w:val="18"/>
                              </w:rPr>
                              <w:t>CIDRP02993E01</w:t>
                            </w:r>
                            <w:r w:rsidRPr="00A2795E">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EB047" id="_x0000_t202" coordsize="21600,21600" o:spt="202" path="m,l,21600r21600,l21600,xe">
                <v:stroke joinstyle="miter"/>
                <v:path gradientshapeok="t" o:connecttype="rect"/>
              </v:shapetype>
              <v:shape id="Text Box 3" o:spid="_x0000_s1026" type="#_x0000_t202" style="position:absolute;left:0;text-align:left;margin-left:-13.2pt;margin-top:738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" filled="f" stroked="f">
                <v:textbox>
                  <w:txbxContent>
                    <w:p w14:paraId="76C8C664" w14:textId="2B7719F2" w:rsidR="00A67216" w:rsidRPr="00A56527" w:rsidRDefault="00A67216" w:rsidP="007D01F2">
                      <w:pPr>
                        <w:rPr>
                          <w:sz w:val="18"/>
                        </w:rPr>
                      </w:pPr>
                      <w:r w:rsidRPr="00A2795E">
                        <w:rPr>
                          <w:sz w:val="18"/>
                        </w:rPr>
                        <w:fldChar w:fldCharType="begin"/>
                      </w:r>
                      <w:r w:rsidRPr="00A2795E">
                        <w:rPr>
                          <w:sz w:val="18"/>
                        </w:rPr>
                        <w:instrText xml:space="preserve"> FILENAME  \* MERGEFORMAT </w:instrText>
                      </w:r>
                      <w:r w:rsidRPr="00A2795E">
                        <w:rPr>
                          <w:sz w:val="18"/>
                        </w:rPr>
                        <w:fldChar w:fldCharType="separate"/>
                      </w:r>
                      <w:r w:rsidR="00100FDF">
                        <w:rPr>
                          <w:noProof/>
                          <w:sz w:val="18"/>
                        </w:rPr>
                        <w:t>CIDRP02993E01</w:t>
                      </w:r>
                      <w:r w:rsidRPr="00A2795E">
                        <w:rPr>
                          <w:sz w:val="18"/>
                        </w:rPr>
                        <w:fldChar w:fldCharType="end"/>
                      </w:r>
                    </w:p>
                  </w:txbxContent>
                </v:textbox>
                <w10:wrap anchory="page"/>
                <w10:anchorlock/>
              </v:shape>
            </w:pict>
          </mc:Fallback>
        </mc:AlternateContent>
      </w:r>
    </w:p>
    <w:sectPr w:rsidR="007D01F2" w:rsidRPr="0044135B" w:rsidSect="0044135B">
      <w:headerReference w:type="even" r:id="rId11"/>
      <w:headerReference w:type="default" r:id="rId12"/>
      <w:type w:val="oddPage"/>
      <w:pgSz w:w="12240" w:h="15840" w:code="1"/>
      <w:pgMar w:top="1440" w:right="1570" w:bottom="1296" w:left="1699" w:header="1296" w:footer="1296" w:gutter="0"/>
      <w:pgNumType w:fmt="numberInDash"/>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0BC8" w16cex:dateUtc="2020-09-01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EB35C" w16cid:durableId="22E534C3"/>
  <w16cid:commentId w16cid:paraId="4C00A9AD" w16cid:durableId="22E534C4"/>
  <w16cid:commentId w16cid:paraId="4E996D16" w16cid:durableId="22F8F95F"/>
  <w16cid:commentId w16cid:paraId="596163FD" w16cid:durableId="22F8F960"/>
  <w16cid:commentId w16cid:paraId="1637DA15" w16cid:durableId="22E534C5"/>
  <w16cid:commentId w16cid:paraId="69A8B1DF" w16cid:durableId="22E534C6"/>
  <w16cid:commentId w16cid:paraId="5218E78F" w16cid:durableId="22E534C7"/>
  <w16cid:commentId w16cid:paraId="3A9CD949" w16cid:durableId="22E534C8"/>
  <w16cid:commentId w16cid:paraId="7F996972" w16cid:durableId="22F90B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EB4B6" w14:textId="77777777" w:rsidR="00A67216" w:rsidRDefault="00A67216" w:rsidP="00C30F2F">
      <w:r>
        <w:separator/>
      </w:r>
    </w:p>
  </w:endnote>
  <w:endnote w:type="continuationSeparator" w:id="0">
    <w:p w14:paraId="49101D7E" w14:textId="77777777" w:rsidR="00A67216" w:rsidRDefault="00A67216" w:rsidP="00C30F2F">
      <w:r>
        <w:continuationSeparator/>
      </w:r>
    </w:p>
  </w:endnote>
  <w:endnote w:type="continuationNotice" w:id="1">
    <w:p w14:paraId="136B7677" w14:textId="77777777" w:rsidR="00A67216" w:rsidRDefault="00A67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f4">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A9505" w14:textId="77777777" w:rsidR="00A67216" w:rsidRDefault="00A67216" w:rsidP="00C30F2F">
      <w:r>
        <w:separator/>
      </w:r>
    </w:p>
  </w:footnote>
  <w:footnote w:type="continuationSeparator" w:id="0">
    <w:p w14:paraId="01720E3C" w14:textId="77777777" w:rsidR="00A67216" w:rsidRDefault="00A67216" w:rsidP="00C30F2F">
      <w:r>
        <w:continuationSeparator/>
      </w:r>
    </w:p>
  </w:footnote>
  <w:footnote w:type="continuationNotice" w:id="1">
    <w:p w14:paraId="71D4291A" w14:textId="77777777" w:rsidR="00A67216" w:rsidRDefault="00A67216"/>
  </w:footnote>
  <w:footnote w:id="2">
    <w:p w14:paraId="1E25AF41" w14:textId="35E2C671" w:rsidR="00A67216" w:rsidRPr="001C423E" w:rsidRDefault="00A67216">
      <w:pPr>
        <w:pStyle w:val="FootnoteText"/>
        <w:rPr>
          <w:lang w:val="en-US"/>
        </w:rPr>
      </w:pPr>
      <w:r w:rsidRPr="008355A9">
        <w:rPr>
          <w:rStyle w:val="FootnoteReference"/>
          <w:sz w:val="18"/>
          <w:szCs w:val="18"/>
        </w:rPr>
        <w:footnoteRef/>
      </w:r>
      <w:r w:rsidRPr="008355A9">
        <w:rPr>
          <w:sz w:val="18"/>
          <w:szCs w:val="18"/>
          <w:lang w:val="en-US"/>
        </w:rPr>
        <w:t xml:space="preserve"> United Nations Office for Disaster Risk Reduction (UNDRR). Terminology.  </w:t>
      </w:r>
      <w:hyperlink r:id="rId1" w:history="1">
        <w:r w:rsidRPr="008355A9">
          <w:rPr>
            <w:rStyle w:val="Hyperlink"/>
            <w:sz w:val="18"/>
            <w:szCs w:val="18"/>
            <w:lang w:val="en-US"/>
          </w:rPr>
          <w:t>https://www.undrr.org/terminology/resilience</w:t>
        </w:r>
      </w:hyperlink>
      <w:r>
        <w:rPr>
          <w:lang w:val="en-US"/>
        </w:rPr>
        <w:t xml:space="preserve"> </w:t>
      </w:r>
    </w:p>
  </w:footnote>
  <w:footnote w:id="3">
    <w:p w14:paraId="7C204349" w14:textId="61627E3B" w:rsidR="00A67216" w:rsidRPr="008355A9" w:rsidRDefault="00A67216" w:rsidP="00600AA4">
      <w:pPr>
        <w:pStyle w:val="FootnoteText"/>
        <w:tabs>
          <w:tab w:val="left" w:pos="720"/>
        </w:tabs>
        <w:ind w:left="270" w:hanging="270"/>
        <w:rPr>
          <w:sz w:val="18"/>
          <w:szCs w:val="18"/>
          <w:lang w:val="en-US"/>
        </w:rPr>
      </w:pPr>
      <w:r w:rsidRPr="008355A9">
        <w:rPr>
          <w:rStyle w:val="FootnoteReference"/>
          <w:sz w:val="18"/>
          <w:szCs w:val="18"/>
        </w:rPr>
        <w:footnoteRef/>
      </w:r>
      <w:r w:rsidRPr="008355A9">
        <w:rPr>
          <w:sz w:val="18"/>
          <w:szCs w:val="18"/>
          <w:lang w:val="en-US"/>
        </w:rPr>
        <w:tab/>
        <w:t>Economic Commission for Latin America and the Caribbean (July 2020</w:t>
      </w:r>
      <w:hyperlink r:id="rId2" w:history="1">
        <w:r w:rsidRPr="008355A9">
          <w:rPr>
            <w:rStyle w:val="Hyperlink"/>
            <w:sz w:val="18"/>
            <w:szCs w:val="18"/>
            <w:lang w:val="en-US"/>
          </w:rPr>
          <w:t>). Addressing the growing impact of COVID-19 with a view to reactivation with equality: new projections.</w:t>
        </w:r>
      </w:hyperlink>
    </w:p>
  </w:footnote>
  <w:footnote w:id="4">
    <w:p w14:paraId="7CC2379C" w14:textId="30C4DD45" w:rsidR="00A67216" w:rsidRPr="005456DF" w:rsidRDefault="00A67216" w:rsidP="00FA01B1">
      <w:pPr>
        <w:pStyle w:val="FootnoteText"/>
        <w:ind w:left="270" w:hanging="270"/>
        <w:rPr>
          <w:lang w:val="en-US"/>
        </w:rPr>
      </w:pPr>
      <w:r w:rsidRPr="008355A9">
        <w:rPr>
          <w:rStyle w:val="FootnoteReference"/>
          <w:sz w:val="18"/>
          <w:szCs w:val="18"/>
        </w:rPr>
        <w:footnoteRef/>
      </w:r>
      <w:r w:rsidRPr="008355A9">
        <w:rPr>
          <w:sz w:val="18"/>
          <w:szCs w:val="18"/>
          <w:lang w:val="en-US"/>
        </w:rPr>
        <w:t xml:space="preserve"> </w:t>
      </w:r>
      <w:r w:rsidRPr="008355A9">
        <w:rPr>
          <w:sz w:val="18"/>
          <w:szCs w:val="18"/>
          <w:lang w:val="en-US"/>
        </w:rPr>
        <w:tab/>
        <w:t>Inter-American Development Bank (</w:t>
      </w:r>
      <w:proofErr w:type="gramStart"/>
      <w:r w:rsidRPr="008355A9">
        <w:rPr>
          <w:sz w:val="18"/>
          <w:szCs w:val="18"/>
          <w:lang w:val="en-US"/>
        </w:rPr>
        <w:t>May,</w:t>
      </w:r>
      <w:proofErr w:type="gramEnd"/>
      <w:r w:rsidRPr="008355A9">
        <w:rPr>
          <w:sz w:val="18"/>
          <w:szCs w:val="18"/>
          <w:lang w:val="en-US"/>
        </w:rPr>
        <w:t xml:space="preserve"> 2020). </w:t>
      </w:r>
      <w:hyperlink r:id="rId3" w:history="1">
        <w:r w:rsidRPr="008355A9">
          <w:rPr>
            <w:rStyle w:val="Hyperlink"/>
            <w:sz w:val="18"/>
            <w:szCs w:val="18"/>
            <w:lang w:val="en-US"/>
          </w:rPr>
          <w:t>Covid-19: The Challenge of Ensuring Assistance to Informal and Vulnerable Workers.</w:t>
        </w:r>
      </w:hyperlink>
      <w:r w:rsidRPr="005456DF">
        <w:rPr>
          <w:lang w:val="en-US"/>
        </w:rPr>
        <w:t xml:space="preserve"> </w:t>
      </w:r>
    </w:p>
  </w:footnote>
  <w:footnote w:id="5">
    <w:p w14:paraId="41DC51AF" w14:textId="54A98ACE" w:rsidR="00A67216" w:rsidRPr="008355A9" w:rsidRDefault="00A67216" w:rsidP="00556B52">
      <w:pPr>
        <w:pStyle w:val="FootnoteText"/>
        <w:ind w:left="180" w:hanging="180"/>
        <w:rPr>
          <w:sz w:val="18"/>
          <w:szCs w:val="18"/>
          <w:lang w:val="en-US"/>
        </w:rPr>
      </w:pPr>
      <w:r>
        <w:rPr>
          <w:rStyle w:val="FootnoteReference"/>
        </w:rPr>
        <w:footnoteRef/>
      </w:r>
      <w:r w:rsidRPr="005456DF">
        <w:rPr>
          <w:lang w:val="en-US"/>
        </w:rPr>
        <w:t xml:space="preserve"> </w:t>
      </w:r>
      <w:r>
        <w:rPr>
          <w:lang w:val="en-US"/>
        </w:rPr>
        <w:tab/>
      </w:r>
      <w:r w:rsidRPr="008355A9">
        <w:rPr>
          <w:sz w:val="18"/>
          <w:szCs w:val="18"/>
          <w:lang w:val="en-US"/>
        </w:rPr>
        <w:t>Inter-American Development Bank. (</w:t>
      </w:r>
      <w:proofErr w:type="gramStart"/>
      <w:r w:rsidRPr="008355A9">
        <w:rPr>
          <w:sz w:val="18"/>
          <w:szCs w:val="18"/>
          <w:lang w:val="en-US"/>
        </w:rPr>
        <w:t>June,</w:t>
      </w:r>
      <w:proofErr w:type="gramEnd"/>
      <w:r w:rsidRPr="008355A9">
        <w:rPr>
          <w:sz w:val="18"/>
          <w:szCs w:val="18"/>
          <w:lang w:val="en-US"/>
        </w:rPr>
        <w:t xml:space="preserve"> 2020). </w:t>
      </w:r>
      <w:hyperlink r:id="rId4" w:history="1">
        <w:r w:rsidRPr="008355A9">
          <w:rPr>
            <w:rStyle w:val="Hyperlink"/>
            <w:sz w:val="18"/>
            <w:szCs w:val="18"/>
            <w:lang w:val="en-US"/>
          </w:rPr>
          <w:t>Extreme Outlier: The Pandemic’s Unprecedented Shock to Tourism in Latin America and the Caribbean</w:t>
        </w:r>
      </w:hyperlink>
    </w:p>
  </w:footnote>
  <w:footnote w:id="6">
    <w:p w14:paraId="3C3683B6" w14:textId="073EDFA0" w:rsidR="00A67216" w:rsidRPr="005456DF" w:rsidRDefault="00A67216" w:rsidP="00556B52">
      <w:pPr>
        <w:pStyle w:val="FootnoteText"/>
        <w:ind w:left="180" w:hanging="180"/>
        <w:rPr>
          <w:lang w:val="en-US"/>
        </w:rPr>
      </w:pPr>
      <w:r w:rsidRPr="008355A9">
        <w:rPr>
          <w:rStyle w:val="FootnoteReference"/>
          <w:sz w:val="18"/>
          <w:szCs w:val="18"/>
        </w:rPr>
        <w:footnoteRef/>
      </w:r>
      <w:r w:rsidRPr="008355A9">
        <w:rPr>
          <w:sz w:val="18"/>
          <w:szCs w:val="18"/>
          <w:lang w:val="en-US"/>
        </w:rPr>
        <w:t xml:space="preserve"> </w:t>
      </w:r>
      <w:r w:rsidRPr="008355A9">
        <w:rPr>
          <w:sz w:val="18"/>
          <w:szCs w:val="18"/>
          <w:lang w:val="en-US"/>
        </w:rPr>
        <w:tab/>
        <w:t>The Tourism Dependency Index (TDI) is calculated using 5-year averages (2014- 2018) for the total contribution of tourism to export receipts, GDP, and employment for each country. The range is from zero to 100, with 100 representing total dependence on the sector.</w:t>
      </w:r>
      <w:r w:rsidRPr="005456DF">
        <w:rPr>
          <w:lang w:val="en-US"/>
        </w:rPr>
        <w:t xml:space="preserve"> </w:t>
      </w:r>
    </w:p>
  </w:footnote>
  <w:footnote w:id="7">
    <w:p w14:paraId="1267AE7E" w14:textId="7B7E5B18" w:rsidR="00A67216" w:rsidRPr="008355A9" w:rsidRDefault="00A67216" w:rsidP="001D462E">
      <w:pPr>
        <w:pStyle w:val="FootnoteText"/>
        <w:ind w:left="180" w:hanging="180"/>
        <w:rPr>
          <w:sz w:val="18"/>
          <w:szCs w:val="18"/>
          <w:lang w:val="en-US"/>
        </w:rPr>
      </w:pPr>
      <w:r w:rsidRPr="008355A9">
        <w:rPr>
          <w:rStyle w:val="FootnoteReference"/>
          <w:sz w:val="18"/>
          <w:szCs w:val="18"/>
        </w:rPr>
        <w:footnoteRef/>
      </w:r>
      <w:r w:rsidRPr="008355A9">
        <w:rPr>
          <w:sz w:val="18"/>
          <w:szCs w:val="18"/>
          <w:lang w:val="en-US"/>
        </w:rPr>
        <w:t xml:space="preserve"> </w:t>
      </w:r>
      <w:r w:rsidRPr="008355A9">
        <w:rPr>
          <w:sz w:val="18"/>
          <w:szCs w:val="18"/>
          <w:lang w:val="en-US"/>
        </w:rPr>
        <w:tab/>
        <w:t xml:space="preserve">Ibid. </w:t>
      </w:r>
    </w:p>
  </w:footnote>
  <w:footnote w:id="8">
    <w:p w14:paraId="6BB3C824" w14:textId="3979B1AA" w:rsidR="00A67216" w:rsidRPr="008355A9" w:rsidRDefault="00A67216" w:rsidP="001D462E">
      <w:pPr>
        <w:pStyle w:val="FootnoteText"/>
        <w:ind w:left="180" w:hanging="180"/>
        <w:rPr>
          <w:sz w:val="18"/>
          <w:szCs w:val="18"/>
          <w:lang w:val="en-US"/>
        </w:rPr>
      </w:pPr>
      <w:r w:rsidRPr="008355A9">
        <w:rPr>
          <w:rStyle w:val="FootnoteReference"/>
          <w:sz w:val="18"/>
          <w:szCs w:val="18"/>
        </w:rPr>
        <w:footnoteRef/>
      </w:r>
      <w:r w:rsidRPr="008355A9">
        <w:rPr>
          <w:sz w:val="18"/>
          <w:szCs w:val="18"/>
          <w:lang w:val="en-US"/>
        </w:rPr>
        <w:t xml:space="preserve"> </w:t>
      </w:r>
      <w:r w:rsidRPr="008355A9">
        <w:rPr>
          <w:sz w:val="18"/>
          <w:szCs w:val="18"/>
          <w:lang w:val="en-US"/>
        </w:rPr>
        <w:tab/>
        <w:t xml:space="preserve">The World Travel and Tourism Council (WTTC) defines direct contribution as GDP generated by industries that deal directly with tourists, including hotels, travel agents, airlines and other passenger transport services, as well as the activities of restaurant and leisure industries that deal directly with tourists. </w:t>
      </w:r>
    </w:p>
    <w:p w14:paraId="6B121046" w14:textId="77777777" w:rsidR="00A67216" w:rsidRPr="008355A9" w:rsidRDefault="00A67216" w:rsidP="001D462E">
      <w:pPr>
        <w:pStyle w:val="FootnoteText"/>
        <w:ind w:left="180"/>
        <w:rPr>
          <w:sz w:val="18"/>
          <w:szCs w:val="18"/>
          <w:lang w:val="en-US"/>
        </w:rPr>
      </w:pPr>
      <w:r w:rsidRPr="008355A9">
        <w:rPr>
          <w:sz w:val="18"/>
          <w:szCs w:val="18"/>
          <w:lang w:val="en-US"/>
        </w:rPr>
        <w:t xml:space="preserve">Economic Impact Reports WTTC/Oxford Economics (2019). </w:t>
      </w:r>
      <w:hyperlink r:id="rId5" w:history="1">
        <w:r w:rsidRPr="008355A9">
          <w:rPr>
            <w:rStyle w:val="Hyperlink"/>
            <w:sz w:val="18"/>
            <w:szCs w:val="18"/>
            <w:lang w:val="en-US"/>
          </w:rPr>
          <w:t>https://wttc.org/Research/Economic-Impact</w:t>
        </w:r>
      </w:hyperlink>
      <w:r w:rsidRPr="008355A9">
        <w:rPr>
          <w:sz w:val="18"/>
          <w:szCs w:val="18"/>
          <w:lang w:val="en-US"/>
        </w:rPr>
        <w:t xml:space="preserve"> .</w:t>
      </w:r>
    </w:p>
  </w:footnote>
  <w:footnote w:id="9">
    <w:p w14:paraId="0F7FFEB7" w14:textId="0CA189AC" w:rsidR="00A67216" w:rsidRPr="0041118B" w:rsidRDefault="00A67216" w:rsidP="001D462E">
      <w:pPr>
        <w:pStyle w:val="FootnoteText"/>
        <w:ind w:left="180" w:hanging="180"/>
        <w:rPr>
          <w:lang w:val="en-US"/>
        </w:rPr>
      </w:pPr>
      <w:r w:rsidRPr="008355A9">
        <w:rPr>
          <w:rStyle w:val="FootnoteReference"/>
          <w:sz w:val="18"/>
          <w:szCs w:val="18"/>
        </w:rPr>
        <w:footnoteRef/>
      </w:r>
      <w:r w:rsidRPr="008355A9">
        <w:rPr>
          <w:sz w:val="18"/>
          <w:szCs w:val="18"/>
          <w:lang w:val="en-US"/>
        </w:rPr>
        <w:t xml:space="preserve"> </w:t>
      </w:r>
      <w:r w:rsidRPr="008355A9">
        <w:rPr>
          <w:sz w:val="18"/>
          <w:szCs w:val="18"/>
          <w:lang w:val="en-US"/>
        </w:rPr>
        <w:tab/>
        <w:t>World Tourism Organization (UNWTO). (</w:t>
      </w:r>
      <w:proofErr w:type="gramStart"/>
      <w:r w:rsidRPr="008355A9">
        <w:rPr>
          <w:sz w:val="18"/>
          <w:szCs w:val="18"/>
          <w:lang w:val="en-US"/>
        </w:rPr>
        <w:t>April,</w:t>
      </w:r>
      <w:proofErr w:type="gramEnd"/>
      <w:r w:rsidRPr="008355A9">
        <w:rPr>
          <w:sz w:val="18"/>
          <w:szCs w:val="18"/>
          <w:lang w:val="en-US"/>
        </w:rPr>
        <w:t xml:space="preserve"> 2020). </w:t>
      </w:r>
      <w:hyperlink r:id="rId6" w:history="1">
        <w:r w:rsidRPr="008355A9">
          <w:rPr>
            <w:rStyle w:val="Hyperlink"/>
            <w:sz w:val="18"/>
            <w:szCs w:val="18"/>
            <w:lang w:val="en-US"/>
          </w:rPr>
          <w:t>“</w:t>
        </w:r>
        <w:r w:rsidRPr="008355A9">
          <w:rPr>
            <w:rStyle w:val="Hyperlink"/>
            <w:iCs/>
            <w:noProof/>
            <w:sz w:val="18"/>
            <w:szCs w:val="18"/>
            <w:lang w:val="en-US"/>
          </w:rPr>
          <w:t>Supporting Jobs and Economies through Travel &amp; Tourism – A Call for Action to Mitigate the Socio-Economic Impact of COVID-19 and Accelerate Recovery”</w:t>
        </w:r>
      </w:hyperlink>
      <w:r w:rsidRPr="008355A9">
        <w:rPr>
          <w:iCs/>
          <w:noProof/>
          <w:sz w:val="18"/>
          <w:szCs w:val="18"/>
          <w:lang w:val="en-US"/>
        </w:rPr>
        <w:t>.</w:t>
      </w:r>
      <w:r w:rsidRPr="005370EA">
        <w:rPr>
          <w:noProof/>
          <w:lang w:val="en-US"/>
        </w:rPr>
        <w:t xml:space="preserve"> </w:t>
      </w:r>
    </w:p>
  </w:footnote>
  <w:footnote w:id="10">
    <w:p w14:paraId="2E9DD54A" w14:textId="77777777" w:rsidR="00A67216" w:rsidRPr="008355A9" w:rsidRDefault="00A67216" w:rsidP="00600AA4">
      <w:pPr>
        <w:pStyle w:val="FootnoteText"/>
        <w:tabs>
          <w:tab w:val="left" w:pos="720"/>
        </w:tabs>
        <w:ind w:left="270" w:hanging="360"/>
        <w:jc w:val="both"/>
        <w:rPr>
          <w:sz w:val="18"/>
          <w:szCs w:val="18"/>
          <w:lang w:val="en-US"/>
        </w:rPr>
      </w:pPr>
      <w:r w:rsidRPr="002976BD">
        <w:rPr>
          <w:rStyle w:val="FootnoteReference"/>
          <w:sz w:val="18"/>
          <w:szCs w:val="18"/>
        </w:rPr>
        <w:footnoteRef/>
      </w:r>
      <w:r w:rsidRPr="005456DF">
        <w:rPr>
          <w:rStyle w:val="FootnoteReference"/>
          <w:sz w:val="18"/>
          <w:szCs w:val="18"/>
          <w:lang w:val="en-US"/>
        </w:rPr>
        <w:t xml:space="preserve"> </w:t>
      </w:r>
      <w:r w:rsidRPr="005456DF">
        <w:rPr>
          <w:rStyle w:val="FootnoteReference"/>
          <w:sz w:val="18"/>
          <w:szCs w:val="18"/>
          <w:lang w:val="en-US"/>
        </w:rPr>
        <w:tab/>
      </w:r>
      <w:r w:rsidRPr="008355A9">
        <w:rPr>
          <w:sz w:val="18"/>
          <w:szCs w:val="18"/>
          <w:lang w:val="en-US"/>
        </w:rPr>
        <w:t xml:space="preserve">United Nations Economic and Social Council. (March 2019). </w:t>
      </w:r>
      <w:hyperlink r:id="rId7" w:history="1">
        <w:r w:rsidRPr="008355A9">
          <w:rPr>
            <w:rStyle w:val="Hyperlink"/>
            <w:sz w:val="18"/>
            <w:szCs w:val="18"/>
            <w:lang w:val="en-US"/>
          </w:rPr>
          <w:t>The role of science, technology and innovation in building resilient communities, including through the contribution of citizen science.</w:t>
        </w:r>
      </w:hyperlink>
    </w:p>
  </w:footnote>
  <w:footnote w:id="11">
    <w:p w14:paraId="780C5697" w14:textId="77777777" w:rsidR="00A67216" w:rsidRPr="005456DF" w:rsidRDefault="00A67216" w:rsidP="00600AA4">
      <w:pPr>
        <w:pStyle w:val="FootnoteText"/>
        <w:tabs>
          <w:tab w:val="left" w:pos="720"/>
        </w:tabs>
        <w:ind w:left="270" w:hanging="360"/>
        <w:jc w:val="both"/>
        <w:rPr>
          <w:sz w:val="18"/>
          <w:szCs w:val="18"/>
          <w:lang w:val="en-US"/>
        </w:rPr>
      </w:pPr>
      <w:r w:rsidRPr="008355A9">
        <w:rPr>
          <w:rStyle w:val="FootnoteReference"/>
          <w:sz w:val="18"/>
          <w:szCs w:val="18"/>
        </w:rPr>
        <w:footnoteRef/>
      </w:r>
      <w:r w:rsidRPr="008355A9">
        <w:rPr>
          <w:sz w:val="18"/>
          <w:szCs w:val="18"/>
          <w:lang w:val="en-US"/>
        </w:rPr>
        <w:t xml:space="preserve"> </w:t>
      </w:r>
      <w:r w:rsidRPr="008355A9">
        <w:rPr>
          <w:sz w:val="18"/>
          <w:szCs w:val="18"/>
          <w:lang w:val="en-US"/>
        </w:rPr>
        <w:tab/>
        <w:t>United Nations Conference on Trade and Development (</w:t>
      </w:r>
      <w:proofErr w:type="gramStart"/>
      <w:r w:rsidRPr="008355A9">
        <w:rPr>
          <w:sz w:val="18"/>
          <w:szCs w:val="18"/>
          <w:lang w:val="en-US"/>
        </w:rPr>
        <w:t>November,</w:t>
      </w:r>
      <w:proofErr w:type="gramEnd"/>
      <w:r w:rsidRPr="008355A9">
        <w:rPr>
          <w:sz w:val="18"/>
          <w:szCs w:val="18"/>
          <w:lang w:val="en-US"/>
        </w:rPr>
        <w:t xml:space="preserve"> 2019) </w:t>
      </w:r>
      <w:hyperlink r:id="rId8" w:history="1">
        <w:r w:rsidRPr="008355A9">
          <w:rPr>
            <w:rStyle w:val="Hyperlink"/>
            <w:sz w:val="18"/>
            <w:szCs w:val="18"/>
            <w:lang w:val="en-US"/>
          </w:rPr>
          <w:t>The Role of Science, Technology and Innovation in Building Resilient Communities, Including Through the Contribution of Citizen Science.</w:t>
        </w:r>
      </w:hyperlink>
      <w:r w:rsidRPr="005456DF">
        <w:rPr>
          <w:sz w:val="18"/>
          <w:szCs w:val="18"/>
          <w:lang w:val="en-US"/>
        </w:rPr>
        <w:t xml:space="preserve"> </w:t>
      </w:r>
    </w:p>
  </w:footnote>
  <w:footnote w:id="12">
    <w:p w14:paraId="0C62CF7A" w14:textId="77777777" w:rsidR="00A67216" w:rsidRPr="005456DF" w:rsidRDefault="00A67216" w:rsidP="00600AA4">
      <w:pPr>
        <w:pStyle w:val="FootnoteText"/>
        <w:tabs>
          <w:tab w:val="left" w:pos="720"/>
        </w:tabs>
        <w:ind w:left="270" w:hanging="360"/>
        <w:jc w:val="both"/>
        <w:rPr>
          <w:rStyle w:val="FootnoteReference"/>
          <w:sz w:val="18"/>
          <w:szCs w:val="18"/>
          <w:lang w:val="en-US"/>
        </w:rPr>
      </w:pPr>
      <w:r w:rsidRPr="002976BD">
        <w:rPr>
          <w:rStyle w:val="FootnoteReference"/>
          <w:sz w:val="18"/>
          <w:szCs w:val="18"/>
        </w:rPr>
        <w:footnoteRef/>
      </w:r>
      <w:r w:rsidRPr="005456DF">
        <w:rPr>
          <w:rStyle w:val="FootnoteReference"/>
          <w:sz w:val="18"/>
          <w:szCs w:val="18"/>
          <w:lang w:val="en-US"/>
        </w:rPr>
        <w:t xml:space="preserve">  </w:t>
      </w:r>
      <w:r w:rsidRPr="005456DF">
        <w:rPr>
          <w:rStyle w:val="FootnoteReference"/>
          <w:sz w:val="18"/>
          <w:szCs w:val="18"/>
          <w:lang w:val="en-US"/>
        </w:rPr>
        <w:tab/>
      </w:r>
      <w:r w:rsidRPr="005456DF">
        <w:rPr>
          <w:sz w:val="18"/>
          <w:lang w:val="en-US"/>
        </w:rPr>
        <w:t>CIDI/COMCYT/doc.3/19.rev.1</w:t>
      </w:r>
    </w:p>
  </w:footnote>
  <w:footnote w:id="13">
    <w:p w14:paraId="45BE2F19" w14:textId="77777777" w:rsidR="00A67216" w:rsidRPr="005456DF" w:rsidRDefault="00A67216" w:rsidP="00600AA4">
      <w:pPr>
        <w:pStyle w:val="FootnoteText"/>
        <w:tabs>
          <w:tab w:val="left" w:pos="720"/>
        </w:tabs>
        <w:ind w:left="270" w:hanging="360"/>
        <w:jc w:val="both"/>
        <w:rPr>
          <w:rStyle w:val="FootnoteReference"/>
          <w:sz w:val="18"/>
          <w:szCs w:val="18"/>
          <w:lang w:val="en-US"/>
        </w:rPr>
      </w:pPr>
      <w:r w:rsidRPr="002976BD">
        <w:rPr>
          <w:rStyle w:val="FootnoteReference"/>
          <w:sz w:val="18"/>
          <w:szCs w:val="18"/>
        </w:rPr>
        <w:footnoteRef/>
      </w:r>
      <w:r w:rsidRPr="005456DF">
        <w:rPr>
          <w:rStyle w:val="FootnoteReference"/>
          <w:sz w:val="18"/>
          <w:szCs w:val="18"/>
          <w:lang w:val="en-US"/>
        </w:rPr>
        <w:t xml:space="preserve">   </w:t>
      </w:r>
      <w:r w:rsidRPr="005456DF">
        <w:rPr>
          <w:sz w:val="18"/>
          <w:szCs w:val="18"/>
          <w:lang w:val="en-US"/>
        </w:rPr>
        <w:tab/>
      </w:r>
      <w:r w:rsidRPr="005456DF">
        <w:rPr>
          <w:sz w:val="18"/>
          <w:lang w:val="en-US"/>
        </w:rPr>
        <w:t>Virtual Meeting of COMCYT Authorities held on July 15, 2020. Recommendations based on document with inputs from the Secretariat CIDI/COMCYT/RPA/INF.1/20</w:t>
      </w:r>
    </w:p>
    <w:p w14:paraId="2C219944" w14:textId="77777777" w:rsidR="00A67216" w:rsidRPr="005456DF" w:rsidRDefault="00A67216" w:rsidP="00600AA4">
      <w:pPr>
        <w:pStyle w:val="FootnoteText"/>
        <w:ind w:hanging="9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1D8B" w14:textId="472D9425" w:rsidR="00A67216" w:rsidRDefault="00A67216">
    <w:pPr>
      <w:pStyle w:val="Header"/>
      <w:jc w:val="center"/>
    </w:pPr>
    <w:r>
      <w:fldChar w:fldCharType="begin"/>
    </w:r>
    <w:r>
      <w:instrText xml:space="preserve"> PAGE   \* MERGEFORMAT </w:instrText>
    </w:r>
    <w:r>
      <w:fldChar w:fldCharType="separate"/>
    </w:r>
    <w:r w:rsidR="008916BB">
      <w:rPr>
        <w:noProof/>
      </w:rPr>
      <w:t>- 6 -</w:t>
    </w:r>
    <w:r>
      <w:rPr>
        <w:noProof/>
      </w:rPr>
      <w:fldChar w:fldCharType="end"/>
    </w:r>
  </w:p>
  <w:p w14:paraId="27203158" w14:textId="77777777" w:rsidR="00A67216" w:rsidRDefault="00A6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6625" w14:textId="39D62B10" w:rsidR="00A67216" w:rsidRDefault="00A67216" w:rsidP="00F83B5A">
    <w:pPr>
      <w:pStyle w:val="Header"/>
      <w:jc w:val="center"/>
    </w:pPr>
    <w:r>
      <w:fldChar w:fldCharType="begin"/>
    </w:r>
    <w:r>
      <w:instrText xml:space="preserve"> PAGE   \* MERGEFORMAT </w:instrText>
    </w:r>
    <w:r>
      <w:fldChar w:fldCharType="separate"/>
    </w:r>
    <w:r w:rsidR="008916BB">
      <w:rPr>
        <w:noProof/>
      </w:rPr>
      <w:t>- 5 -</w:t>
    </w:r>
    <w:r>
      <w:rPr>
        <w:noProof/>
      </w:rPr>
      <w:fldChar w:fldCharType="end"/>
    </w:r>
  </w:p>
  <w:p w14:paraId="6112700F" w14:textId="77777777" w:rsidR="00A67216" w:rsidRDefault="00A6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40D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C44A1"/>
    <w:multiLevelType w:val="hybridMultilevel"/>
    <w:tmpl w:val="35347470"/>
    <w:lvl w:ilvl="0" w:tplc="AEEC060C">
      <w:start w:val="1"/>
      <w:numFmt w:val="bullet"/>
      <w:lvlText w:val=""/>
      <w:lvlJc w:val="left"/>
      <w:pPr>
        <w:tabs>
          <w:tab w:val="num" w:pos="720"/>
        </w:tabs>
        <w:ind w:left="720" w:hanging="360"/>
      </w:pPr>
      <w:rPr>
        <w:rFonts w:ascii="Symbol" w:hAnsi="Symbol" w:hint="default"/>
      </w:rPr>
    </w:lvl>
    <w:lvl w:ilvl="1" w:tplc="7BE8DCC2" w:tentative="1">
      <w:start w:val="1"/>
      <w:numFmt w:val="bullet"/>
      <w:lvlText w:val="o"/>
      <w:lvlJc w:val="left"/>
      <w:pPr>
        <w:ind w:left="1440" w:hanging="360"/>
      </w:pPr>
      <w:rPr>
        <w:rFonts w:ascii="Courier New" w:hAnsi="Courier New" w:cs="Courier New" w:hint="default"/>
      </w:rPr>
    </w:lvl>
    <w:lvl w:ilvl="2" w:tplc="8C7040E6" w:tentative="1">
      <w:start w:val="1"/>
      <w:numFmt w:val="bullet"/>
      <w:lvlText w:val=""/>
      <w:lvlJc w:val="left"/>
      <w:pPr>
        <w:ind w:left="2160" w:hanging="360"/>
      </w:pPr>
      <w:rPr>
        <w:rFonts w:ascii="Wingdings" w:hAnsi="Wingdings" w:hint="default"/>
      </w:rPr>
    </w:lvl>
    <w:lvl w:ilvl="3" w:tplc="28F00394" w:tentative="1">
      <w:start w:val="1"/>
      <w:numFmt w:val="bullet"/>
      <w:lvlText w:val=""/>
      <w:lvlJc w:val="left"/>
      <w:pPr>
        <w:ind w:left="2880" w:hanging="360"/>
      </w:pPr>
      <w:rPr>
        <w:rFonts w:ascii="Symbol" w:hAnsi="Symbol" w:hint="default"/>
      </w:rPr>
    </w:lvl>
    <w:lvl w:ilvl="4" w:tplc="846495A0" w:tentative="1">
      <w:start w:val="1"/>
      <w:numFmt w:val="bullet"/>
      <w:lvlText w:val="o"/>
      <w:lvlJc w:val="left"/>
      <w:pPr>
        <w:ind w:left="3600" w:hanging="360"/>
      </w:pPr>
      <w:rPr>
        <w:rFonts w:ascii="Courier New" w:hAnsi="Courier New" w:cs="Courier New" w:hint="default"/>
      </w:rPr>
    </w:lvl>
    <w:lvl w:ilvl="5" w:tplc="9DCC1566" w:tentative="1">
      <w:start w:val="1"/>
      <w:numFmt w:val="bullet"/>
      <w:lvlText w:val=""/>
      <w:lvlJc w:val="left"/>
      <w:pPr>
        <w:ind w:left="4320" w:hanging="360"/>
      </w:pPr>
      <w:rPr>
        <w:rFonts w:ascii="Wingdings" w:hAnsi="Wingdings" w:hint="default"/>
      </w:rPr>
    </w:lvl>
    <w:lvl w:ilvl="6" w:tplc="614619A4" w:tentative="1">
      <w:start w:val="1"/>
      <w:numFmt w:val="bullet"/>
      <w:lvlText w:val=""/>
      <w:lvlJc w:val="left"/>
      <w:pPr>
        <w:ind w:left="5040" w:hanging="360"/>
      </w:pPr>
      <w:rPr>
        <w:rFonts w:ascii="Symbol" w:hAnsi="Symbol" w:hint="default"/>
      </w:rPr>
    </w:lvl>
    <w:lvl w:ilvl="7" w:tplc="065AECEA" w:tentative="1">
      <w:start w:val="1"/>
      <w:numFmt w:val="bullet"/>
      <w:lvlText w:val="o"/>
      <w:lvlJc w:val="left"/>
      <w:pPr>
        <w:ind w:left="5760" w:hanging="360"/>
      </w:pPr>
      <w:rPr>
        <w:rFonts w:ascii="Courier New" w:hAnsi="Courier New" w:cs="Courier New" w:hint="default"/>
      </w:rPr>
    </w:lvl>
    <w:lvl w:ilvl="8" w:tplc="751A0850" w:tentative="1">
      <w:start w:val="1"/>
      <w:numFmt w:val="bullet"/>
      <w:lvlText w:val=""/>
      <w:lvlJc w:val="left"/>
      <w:pPr>
        <w:ind w:left="6480" w:hanging="360"/>
      </w:pPr>
      <w:rPr>
        <w:rFonts w:ascii="Wingdings" w:hAnsi="Wingdings" w:hint="default"/>
      </w:rPr>
    </w:lvl>
  </w:abstractNum>
  <w:abstractNum w:abstractNumId="2" w15:restartNumberingAfterBreak="0">
    <w:nsid w:val="028D094D"/>
    <w:multiLevelType w:val="hybridMultilevel"/>
    <w:tmpl w:val="F1943D9A"/>
    <w:lvl w:ilvl="0" w:tplc="DF8CBE60">
      <w:numFmt w:val="bullet"/>
      <w:lvlText w:val="-"/>
      <w:lvlJc w:val="left"/>
      <w:pPr>
        <w:ind w:left="1080" w:hanging="360"/>
      </w:pPr>
      <w:rPr>
        <w:rFonts w:ascii="Times New Roman" w:eastAsia="Times New Roman" w:hAnsi="Times New Roman" w:cs="Times New Roman" w:hint="default"/>
      </w:rPr>
    </w:lvl>
    <w:lvl w:ilvl="1" w:tplc="DF8CBE6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68053A"/>
    <w:multiLevelType w:val="hybridMultilevel"/>
    <w:tmpl w:val="360CCDEA"/>
    <w:lvl w:ilvl="0" w:tplc="7BE20944">
      <w:start w:val="1"/>
      <w:numFmt w:val="decimal"/>
      <w:lvlText w:val="%1."/>
      <w:lvlJc w:val="left"/>
      <w:pPr>
        <w:tabs>
          <w:tab w:val="num" w:pos="720"/>
        </w:tabs>
        <w:ind w:left="720" w:hanging="360"/>
      </w:pPr>
      <w:rPr>
        <w:rFonts w:hint="default"/>
      </w:rPr>
    </w:lvl>
    <w:lvl w:ilvl="1" w:tplc="E0465CE8">
      <w:start w:val="1"/>
      <w:numFmt w:val="bullet"/>
      <w:lvlText w:val=""/>
      <w:lvlJc w:val="left"/>
      <w:pPr>
        <w:tabs>
          <w:tab w:val="num" w:pos="1440"/>
        </w:tabs>
        <w:ind w:left="1440" w:hanging="360"/>
      </w:pPr>
      <w:rPr>
        <w:rFonts w:ascii="Symbol" w:hAnsi="Symbol" w:hint="default"/>
      </w:rPr>
    </w:lvl>
    <w:lvl w:ilvl="2" w:tplc="B722293C" w:tentative="1">
      <w:start w:val="1"/>
      <w:numFmt w:val="lowerRoman"/>
      <w:lvlText w:val="%3."/>
      <w:lvlJc w:val="right"/>
      <w:pPr>
        <w:tabs>
          <w:tab w:val="num" w:pos="2160"/>
        </w:tabs>
        <w:ind w:left="2160" w:hanging="180"/>
      </w:pPr>
    </w:lvl>
    <w:lvl w:ilvl="3" w:tplc="6B065666" w:tentative="1">
      <w:start w:val="1"/>
      <w:numFmt w:val="decimal"/>
      <w:lvlText w:val="%4."/>
      <w:lvlJc w:val="left"/>
      <w:pPr>
        <w:tabs>
          <w:tab w:val="num" w:pos="2880"/>
        </w:tabs>
        <w:ind w:left="2880" w:hanging="360"/>
      </w:pPr>
    </w:lvl>
    <w:lvl w:ilvl="4" w:tplc="15687DB2" w:tentative="1">
      <w:start w:val="1"/>
      <w:numFmt w:val="lowerLetter"/>
      <w:lvlText w:val="%5."/>
      <w:lvlJc w:val="left"/>
      <w:pPr>
        <w:tabs>
          <w:tab w:val="num" w:pos="3600"/>
        </w:tabs>
        <w:ind w:left="3600" w:hanging="360"/>
      </w:pPr>
    </w:lvl>
    <w:lvl w:ilvl="5" w:tplc="B68241FE" w:tentative="1">
      <w:start w:val="1"/>
      <w:numFmt w:val="lowerRoman"/>
      <w:lvlText w:val="%6."/>
      <w:lvlJc w:val="right"/>
      <w:pPr>
        <w:tabs>
          <w:tab w:val="num" w:pos="4320"/>
        </w:tabs>
        <w:ind w:left="4320" w:hanging="180"/>
      </w:pPr>
    </w:lvl>
    <w:lvl w:ilvl="6" w:tplc="0A746E10" w:tentative="1">
      <w:start w:val="1"/>
      <w:numFmt w:val="decimal"/>
      <w:lvlText w:val="%7."/>
      <w:lvlJc w:val="left"/>
      <w:pPr>
        <w:tabs>
          <w:tab w:val="num" w:pos="5040"/>
        </w:tabs>
        <w:ind w:left="5040" w:hanging="360"/>
      </w:pPr>
    </w:lvl>
    <w:lvl w:ilvl="7" w:tplc="B9B03002" w:tentative="1">
      <w:start w:val="1"/>
      <w:numFmt w:val="lowerLetter"/>
      <w:lvlText w:val="%8."/>
      <w:lvlJc w:val="left"/>
      <w:pPr>
        <w:tabs>
          <w:tab w:val="num" w:pos="5760"/>
        </w:tabs>
        <w:ind w:left="5760" w:hanging="360"/>
      </w:pPr>
    </w:lvl>
    <w:lvl w:ilvl="8" w:tplc="1CF8C7C0" w:tentative="1">
      <w:start w:val="1"/>
      <w:numFmt w:val="lowerRoman"/>
      <w:lvlText w:val="%9."/>
      <w:lvlJc w:val="right"/>
      <w:pPr>
        <w:tabs>
          <w:tab w:val="num" w:pos="6480"/>
        </w:tabs>
        <w:ind w:left="6480" w:hanging="180"/>
      </w:pPr>
    </w:lvl>
  </w:abstractNum>
  <w:abstractNum w:abstractNumId="4" w15:restartNumberingAfterBreak="0">
    <w:nsid w:val="081B169F"/>
    <w:multiLevelType w:val="hybridMultilevel"/>
    <w:tmpl w:val="FCB8DB3C"/>
    <w:lvl w:ilvl="0" w:tplc="04090001">
      <w:start w:val="1"/>
      <w:numFmt w:val="bullet"/>
      <w:lvlText w:val=""/>
      <w:lvlJc w:val="left"/>
      <w:pPr>
        <w:ind w:left="1080" w:hanging="360"/>
      </w:pPr>
      <w:rPr>
        <w:rFonts w:ascii="Symbol" w:hAnsi="Symbol" w:cs="Symbol" w:hint="default"/>
      </w:rPr>
    </w:lvl>
    <w:lvl w:ilvl="1" w:tplc="DF8CBE60">
      <w:numFmt w:val="bullet"/>
      <w:lvlText w:val="-"/>
      <w:lvlJc w:val="left"/>
      <w:pPr>
        <w:ind w:left="1800" w:hanging="360"/>
      </w:pPr>
      <w:rPr>
        <w:rFonts w:ascii="Times New Roman" w:eastAsia="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D3AC4"/>
    <w:multiLevelType w:val="hybridMultilevel"/>
    <w:tmpl w:val="41443904"/>
    <w:lvl w:ilvl="0" w:tplc="BCAA44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978E5"/>
    <w:multiLevelType w:val="hybridMultilevel"/>
    <w:tmpl w:val="48C2BB5A"/>
    <w:lvl w:ilvl="0" w:tplc="F3E8A2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F4BA8"/>
    <w:multiLevelType w:val="hybridMultilevel"/>
    <w:tmpl w:val="8E32ADC6"/>
    <w:lvl w:ilvl="0" w:tplc="F954AF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66E7F"/>
    <w:multiLevelType w:val="hybridMultilevel"/>
    <w:tmpl w:val="0ADE39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DF2F70"/>
    <w:multiLevelType w:val="hybridMultilevel"/>
    <w:tmpl w:val="3982BA2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6D50D6"/>
    <w:multiLevelType w:val="hybridMultilevel"/>
    <w:tmpl w:val="170C811A"/>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2DE04A7A">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62898"/>
    <w:multiLevelType w:val="hybridMultilevel"/>
    <w:tmpl w:val="F0601990"/>
    <w:lvl w:ilvl="0" w:tplc="14D6D938">
      <w:start w:val="1"/>
      <w:numFmt w:val="bullet"/>
      <w:lvlText w:val=""/>
      <w:lvlJc w:val="left"/>
      <w:pPr>
        <w:ind w:left="720" w:hanging="360"/>
      </w:pPr>
      <w:rPr>
        <w:rFonts w:ascii="Symbol" w:hAnsi="Symbol" w:hint="default"/>
      </w:rPr>
    </w:lvl>
    <w:lvl w:ilvl="1" w:tplc="E6A84B28" w:tentative="1">
      <w:start w:val="1"/>
      <w:numFmt w:val="bullet"/>
      <w:lvlText w:val="o"/>
      <w:lvlJc w:val="left"/>
      <w:pPr>
        <w:ind w:left="1440" w:hanging="360"/>
      </w:pPr>
      <w:rPr>
        <w:rFonts w:ascii="Courier New" w:hAnsi="Courier New" w:cs="Courier New" w:hint="default"/>
      </w:rPr>
    </w:lvl>
    <w:lvl w:ilvl="2" w:tplc="AD38F3D4" w:tentative="1">
      <w:start w:val="1"/>
      <w:numFmt w:val="bullet"/>
      <w:lvlText w:val=""/>
      <w:lvlJc w:val="left"/>
      <w:pPr>
        <w:ind w:left="2160" w:hanging="360"/>
      </w:pPr>
      <w:rPr>
        <w:rFonts w:ascii="Wingdings" w:hAnsi="Wingdings" w:hint="default"/>
      </w:rPr>
    </w:lvl>
    <w:lvl w:ilvl="3" w:tplc="D4E4BD88" w:tentative="1">
      <w:start w:val="1"/>
      <w:numFmt w:val="bullet"/>
      <w:lvlText w:val=""/>
      <w:lvlJc w:val="left"/>
      <w:pPr>
        <w:ind w:left="2880" w:hanging="360"/>
      </w:pPr>
      <w:rPr>
        <w:rFonts w:ascii="Symbol" w:hAnsi="Symbol" w:hint="default"/>
      </w:rPr>
    </w:lvl>
    <w:lvl w:ilvl="4" w:tplc="BAF0135A" w:tentative="1">
      <w:start w:val="1"/>
      <w:numFmt w:val="bullet"/>
      <w:lvlText w:val="o"/>
      <w:lvlJc w:val="left"/>
      <w:pPr>
        <w:ind w:left="3600" w:hanging="360"/>
      </w:pPr>
      <w:rPr>
        <w:rFonts w:ascii="Courier New" w:hAnsi="Courier New" w:cs="Courier New" w:hint="default"/>
      </w:rPr>
    </w:lvl>
    <w:lvl w:ilvl="5" w:tplc="E85CC504" w:tentative="1">
      <w:start w:val="1"/>
      <w:numFmt w:val="bullet"/>
      <w:lvlText w:val=""/>
      <w:lvlJc w:val="left"/>
      <w:pPr>
        <w:ind w:left="4320" w:hanging="360"/>
      </w:pPr>
      <w:rPr>
        <w:rFonts w:ascii="Wingdings" w:hAnsi="Wingdings" w:hint="default"/>
      </w:rPr>
    </w:lvl>
    <w:lvl w:ilvl="6" w:tplc="C4BCDF06" w:tentative="1">
      <w:start w:val="1"/>
      <w:numFmt w:val="bullet"/>
      <w:lvlText w:val=""/>
      <w:lvlJc w:val="left"/>
      <w:pPr>
        <w:ind w:left="5040" w:hanging="360"/>
      </w:pPr>
      <w:rPr>
        <w:rFonts w:ascii="Symbol" w:hAnsi="Symbol" w:hint="default"/>
      </w:rPr>
    </w:lvl>
    <w:lvl w:ilvl="7" w:tplc="82544C38" w:tentative="1">
      <w:start w:val="1"/>
      <w:numFmt w:val="bullet"/>
      <w:lvlText w:val="o"/>
      <w:lvlJc w:val="left"/>
      <w:pPr>
        <w:ind w:left="5760" w:hanging="360"/>
      </w:pPr>
      <w:rPr>
        <w:rFonts w:ascii="Courier New" w:hAnsi="Courier New" w:cs="Courier New" w:hint="default"/>
      </w:rPr>
    </w:lvl>
    <w:lvl w:ilvl="8" w:tplc="5380DD72" w:tentative="1">
      <w:start w:val="1"/>
      <w:numFmt w:val="bullet"/>
      <w:lvlText w:val=""/>
      <w:lvlJc w:val="left"/>
      <w:pPr>
        <w:ind w:left="6480" w:hanging="360"/>
      </w:pPr>
      <w:rPr>
        <w:rFonts w:ascii="Wingdings" w:hAnsi="Wingdings" w:hint="default"/>
      </w:rPr>
    </w:lvl>
  </w:abstractNum>
  <w:abstractNum w:abstractNumId="12" w15:restartNumberingAfterBreak="0">
    <w:nsid w:val="343D3EEB"/>
    <w:multiLevelType w:val="hybridMultilevel"/>
    <w:tmpl w:val="EC668E7A"/>
    <w:lvl w:ilvl="0" w:tplc="F3E8A264">
      <w:start w:val="1"/>
      <w:numFmt w:val="decimal"/>
      <w:lvlText w:val="%1."/>
      <w:lvlJc w:val="left"/>
      <w:pPr>
        <w:ind w:left="720" w:hanging="360"/>
      </w:pPr>
      <w:rPr>
        <w:rFonts w:ascii="Times New Roman" w:eastAsia="Times New Roman" w:hAnsi="Times New Roman" w:cs="Times New Roman"/>
      </w:rPr>
    </w:lvl>
    <w:lvl w:ilvl="1" w:tplc="472AAAD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73B47"/>
    <w:multiLevelType w:val="hybridMultilevel"/>
    <w:tmpl w:val="B40E0026"/>
    <w:lvl w:ilvl="0" w:tplc="DF8CBE6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B607E6"/>
    <w:multiLevelType w:val="hybridMultilevel"/>
    <w:tmpl w:val="865C0FB2"/>
    <w:lvl w:ilvl="0" w:tplc="05141120">
      <w:start w:val="1"/>
      <w:numFmt w:val="bullet"/>
      <w:lvlText w:val=""/>
      <w:lvlJc w:val="left"/>
      <w:pPr>
        <w:tabs>
          <w:tab w:val="num" w:pos="720"/>
        </w:tabs>
        <w:ind w:left="720" w:hanging="360"/>
      </w:pPr>
      <w:rPr>
        <w:rFonts w:ascii="Symbol" w:hAnsi="Symbol" w:hint="default"/>
      </w:rPr>
    </w:lvl>
    <w:lvl w:ilvl="1" w:tplc="71E496B2" w:tentative="1">
      <w:start w:val="1"/>
      <w:numFmt w:val="bullet"/>
      <w:lvlText w:val="o"/>
      <w:lvlJc w:val="left"/>
      <w:pPr>
        <w:tabs>
          <w:tab w:val="num" w:pos="1440"/>
        </w:tabs>
        <w:ind w:left="1440" w:hanging="360"/>
      </w:pPr>
      <w:rPr>
        <w:rFonts w:ascii="Courier New" w:hAnsi="Courier New" w:cs="Courier New" w:hint="default"/>
      </w:rPr>
    </w:lvl>
    <w:lvl w:ilvl="2" w:tplc="92EC07D0" w:tentative="1">
      <w:start w:val="1"/>
      <w:numFmt w:val="bullet"/>
      <w:lvlText w:val=""/>
      <w:lvlJc w:val="left"/>
      <w:pPr>
        <w:tabs>
          <w:tab w:val="num" w:pos="2160"/>
        </w:tabs>
        <w:ind w:left="2160" w:hanging="360"/>
      </w:pPr>
      <w:rPr>
        <w:rFonts w:ascii="Wingdings" w:hAnsi="Wingdings" w:hint="default"/>
      </w:rPr>
    </w:lvl>
    <w:lvl w:ilvl="3" w:tplc="369C60BA" w:tentative="1">
      <w:start w:val="1"/>
      <w:numFmt w:val="bullet"/>
      <w:lvlText w:val=""/>
      <w:lvlJc w:val="left"/>
      <w:pPr>
        <w:tabs>
          <w:tab w:val="num" w:pos="2880"/>
        </w:tabs>
        <w:ind w:left="2880" w:hanging="360"/>
      </w:pPr>
      <w:rPr>
        <w:rFonts w:ascii="Symbol" w:hAnsi="Symbol" w:hint="default"/>
      </w:rPr>
    </w:lvl>
    <w:lvl w:ilvl="4" w:tplc="187493CE" w:tentative="1">
      <w:start w:val="1"/>
      <w:numFmt w:val="bullet"/>
      <w:lvlText w:val="o"/>
      <w:lvlJc w:val="left"/>
      <w:pPr>
        <w:tabs>
          <w:tab w:val="num" w:pos="3600"/>
        </w:tabs>
        <w:ind w:left="3600" w:hanging="360"/>
      </w:pPr>
      <w:rPr>
        <w:rFonts w:ascii="Courier New" w:hAnsi="Courier New" w:cs="Courier New" w:hint="default"/>
      </w:rPr>
    </w:lvl>
    <w:lvl w:ilvl="5" w:tplc="CF4E92A4" w:tentative="1">
      <w:start w:val="1"/>
      <w:numFmt w:val="bullet"/>
      <w:lvlText w:val=""/>
      <w:lvlJc w:val="left"/>
      <w:pPr>
        <w:tabs>
          <w:tab w:val="num" w:pos="4320"/>
        </w:tabs>
        <w:ind w:left="4320" w:hanging="360"/>
      </w:pPr>
      <w:rPr>
        <w:rFonts w:ascii="Wingdings" w:hAnsi="Wingdings" w:hint="default"/>
      </w:rPr>
    </w:lvl>
    <w:lvl w:ilvl="6" w:tplc="06B81396" w:tentative="1">
      <w:start w:val="1"/>
      <w:numFmt w:val="bullet"/>
      <w:lvlText w:val=""/>
      <w:lvlJc w:val="left"/>
      <w:pPr>
        <w:tabs>
          <w:tab w:val="num" w:pos="5040"/>
        </w:tabs>
        <w:ind w:left="5040" w:hanging="360"/>
      </w:pPr>
      <w:rPr>
        <w:rFonts w:ascii="Symbol" w:hAnsi="Symbol" w:hint="default"/>
      </w:rPr>
    </w:lvl>
    <w:lvl w:ilvl="7" w:tplc="CAB07B92" w:tentative="1">
      <w:start w:val="1"/>
      <w:numFmt w:val="bullet"/>
      <w:lvlText w:val="o"/>
      <w:lvlJc w:val="left"/>
      <w:pPr>
        <w:tabs>
          <w:tab w:val="num" w:pos="5760"/>
        </w:tabs>
        <w:ind w:left="5760" w:hanging="360"/>
      </w:pPr>
      <w:rPr>
        <w:rFonts w:ascii="Courier New" w:hAnsi="Courier New" w:cs="Courier New" w:hint="default"/>
      </w:rPr>
    </w:lvl>
    <w:lvl w:ilvl="8" w:tplc="145C69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44A37"/>
    <w:multiLevelType w:val="hybridMultilevel"/>
    <w:tmpl w:val="9E0EE8BA"/>
    <w:lvl w:ilvl="0" w:tplc="547688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0265E"/>
    <w:multiLevelType w:val="hybridMultilevel"/>
    <w:tmpl w:val="61BA7F2C"/>
    <w:lvl w:ilvl="0" w:tplc="3F26069C">
      <w:start w:val="1"/>
      <w:numFmt w:val="bullet"/>
      <w:lvlText w:val=""/>
      <w:lvlJc w:val="left"/>
      <w:pPr>
        <w:tabs>
          <w:tab w:val="num" w:pos="720"/>
        </w:tabs>
        <w:ind w:left="720" w:hanging="360"/>
      </w:pPr>
      <w:rPr>
        <w:rFonts w:ascii="Symbol" w:hAnsi="Symbol" w:hint="default"/>
      </w:rPr>
    </w:lvl>
    <w:lvl w:ilvl="1" w:tplc="04DCB46E" w:tentative="1">
      <w:start w:val="1"/>
      <w:numFmt w:val="bullet"/>
      <w:lvlText w:val="o"/>
      <w:lvlJc w:val="left"/>
      <w:pPr>
        <w:tabs>
          <w:tab w:val="num" w:pos="1440"/>
        </w:tabs>
        <w:ind w:left="1440" w:hanging="360"/>
      </w:pPr>
      <w:rPr>
        <w:rFonts w:ascii="Courier New" w:hAnsi="Courier New" w:cs="Courier New" w:hint="default"/>
      </w:rPr>
    </w:lvl>
    <w:lvl w:ilvl="2" w:tplc="6B262464" w:tentative="1">
      <w:start w:val="1"/>
      <w:numFmt w:val="bullet"/>
      <w:lvlText w:val=""/>
      <w:lvlJc w:val="left"/>
      <w:pPr>
        <w:tabs>
          <w:tab w:val="num" w:pos="2160"/>
        </w:tabs>
        <w:ind w:left="2160" w:hanging="360"/>
      </w:pPr>
      <w:rPr>
        <w:rFonts w:ascii="Wingdings" w:hAnsi="Wingdings" w:hint="default"/>
      </w:rPr>
    </w:lvl>
    <w:lvl w:ilvl="3" w:tplc="9DE4ADDA" w:tentative="1">
      <w:start w:val="1"/>
      <w:numFmt w:val="bullet"/>
      <w:lvlText w:val=""/>
      <w:lvlJc w:val="left"/>
      <w:pPr>
        <w:tabs>
          <w:tab w:val="num" w:pos="2880"/>
        </w:tabs>
        <w:ind w:left="2880" w:hanging="360"/>
      </w:pPr>
      <w:rPr>
        <w:rFonts w:ascii="Symbol" w:hAnsi="Symbol" w:hint="default"/>
      </w:rPr>
    </w:lvl>
    <w:lvl w:ilvl="4" w:tplc="EF66E138" w:tentative="1">
      <w:start w:val="1"/>
      <w:numFmt w:val="bullet"/>
      <w:lvlText w:val="o"/>
      <w:lvlJc w:val="left"/>
      <w:pPr>
        <w:tabs>
          <w:tab w:val="num" w:pos="3600"/>
        </w:tabs>
        <w:ind w:left="3600" w:hanging="360"/>
      </w:pPr>
      <w:rPr>
        <w:rFonts w:ascii="Courier New" w:hAnsi="Courier New" w:cs="Courier New" w:hint="default"/>
      </w:rPr>
    </w:lvl>
    <w:lvl w:ilvl="5" w:tplc="D8468E66" w:tentative="1">
      <w:start w:val="1"/>
      <w:numFmt w:val="bullet"/>
      <w:lvlText w:val=""/>
      <w:lvlJc w:val="left"/>
      <w:pPr>
        <w:tabs>
          <w:tab w:val="num" w:pos="4320"/>
        </w:tabs>
        <w:ind w:left="4320" w:hanging="360"/>
      </w:pPr>
      <w:rPr>
        <w:rFonts w:ascii="Wingdings" w:hAnsi="Wingdings" w:hint="default"/>
      </w:rPr>
    </w:lvl>
    <w:lvl w:ilvl="6" w:tplc="733AFCE4" w:tentative="1">
      <w:start w:val="1"/>
      <w:numFmt w:val="bullet"/>
      <w:lvlText w:val=""/>
      <w:lvlJc w:val="left"/>
      <w:pPr>
        <w:tabs>
          <w:tab w:val="num" w:pos="5040"/>
        </w:tabs>
        <w:ind w:left="5040" w:hanging="360"/>
      </w:pPr>
      <w:rPr>
        <w:rFonts w:ascii="Symbol" w:hAnsi="Symbol" w:hint="default"/>
      </w:rPr>
    </w:lvl>
    <w:lvl w:ilvl="7" w:tplc="6A28F362" w:tentative="1">
      <w:start w:val="1"/>
      <w:numFmt w:val="bullet"/>
      <w:lvlText w:val="o"/>
      <w:lvlJc w:val="left"/>
      <w:pPr>
        <w:tabs>
          <w:tab w:val="num" w:pos="5760"/>
        </w:tabs>
        <w:ind w:left="5760" w:hanging="360"/>
      </w:pPr>
      <w:rPr>
        <w:rFonts w:ascii="Courier New" w:hAnsi="Courier New" w:cs="Courier New" w:hint="default"/>
      </w:rPr>
    </w:lvl>
    <w:lvl w:ilvl="8" w:tplc="A11E9D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A33B0"/>
    <w:multiLevelType w:val="hybridMultilevel"/>
    <w:tmpl w:val="2BCED062"/>
    <w:lvl w:ilvl="0" w:tplc="BBD8CF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653C"/>
    <w:multiLevelType w:val="hybridMultilevel"/>
    <w:tmpl w:val="F3AA699C"/>
    <w:lvl w:ilvl="0" w:tplc="DF8CBE60">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8C51ED"/>
    <w:multiLevelType w:val="hybridMultilevel"/>
    <w:tmpl w:val="F238FB74"/>
    <w:lvl w:ilvl="0" w:tplc="BBD8CF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011E1"/>
    <w:multiLevelType w:val="hybridMultilevel"/>
    <w:tmpl w:val="360CCDEA"/>
    <w:lvl w:ilvl="0" w:tplc="95044066">
      <w:start w:val="1"/>
      <w:numFmt w:val="decimal"/>
      <w:lvlText w:val="%1."/>
      <w:lvlJc w:val="left"/>
      <w:pPr>
        <w:tabs>
          <w:tab w:val="num" w:pos="720"/>
        </w:tabs>
        <w:ind w:left="720" w:hanging="360"/>
      </w:pPr>
      <w:rPr>
        <w:rFonts w:hint="default"/>
      </w:rPr>
    </w:lvl>
    <w:lvl w:ilvl="1" w:tplc="E72AEC22">
      <w:start w:val="1"/>
      <w:numFmt w:val="bullet"/>
      <w:lvlText w:val=""/>
      <w:lvlJc w:val="left"/>
      <w:pPr>
        <w:tabs>
          <w:tab w:val="num" w:pos="1440"/>
        </w:tabs>
        <w:ind w:left="1440" w:hanging="360"/>
      </w:pPr>
      <w:rPr>
        <w:rFonts w:ascii="Symbol" w:hAnsi="Symbol" w:hint="default"/>
      </w:rPr>
    </w:lvl>
    <w:lvl w:ilvl="2" w:tplc="8A4ADEE2" w:tentative="1">
      <w:start w:val="1"/>
      <w:numFmt w:val="lowerRoman"/>
      <w:lvlText w:val="%3."/>
      <w:lvlJc w:val="right"/>
      <w:pPr>
        <w:tabs>
          <w:tab w:val="num" w:pos="2160"/>
        </w:tabs>
        <w:ind w:left="2160" w:hanging="180"/>
      </w:pPr>
    </w:lvl>
    <w:lvl w:ilvl="3" w:tplc="113EBECC" w:tentative="1">
      <w:start w:val="1"/>
      <w:numFmt w:val="decimal"/>
      <w:lvlText w:val="%4."/>
      <w:lvlJc w:val="left"/>
      <w:pPr>
        <w:tabs>
          <w:tab w:val="num" w:pos="2880"/>
        </w:tabs>
        <w:ind w:left="2880" w:hanging="360"/>
      </w:pPr>
    </w:lvl>
    <w:lvl w:ilvl="4" w:tplc="443885B6" w:tentative="1">
      <w:start w:val="1"/>
      <w:numFmt w:val="lowerLetter"/>
      <w:lvlText w:val="%5."/>
      <w:lvlJc w:val="left"/>
      <w:pPr>
        <w:tabs>
          <w:tab w:val="num" w:pos="3600"/>
        </w:tabs>
        <w:ind w:left="3600" w:hanging="360"/>
      </w:pPr>
    </w:lvl>
    <w:lvl w:ilvl="5" w:tplc="33A82CB0" w:tentative="1">
      <w:start w:val="1"/>
      <w:numFmt w:val="lowerRoman"/>
      <w:lvlText w:val="%6."/>
      <w:lvlJc w:val="right"/>
      <w:pPr>
        <w:tabs>
          <w:tab w:val="num" w:pos="4320"/>
        </w:tabs>
        <w:ind w:left="4320" w:hanging="180"/>
      </w:pPr>
    </w:lvl>
    <w:lvl w:ilvl="6" w:tplc="CACEF046" w:tentative="1">
      <w:start w:val="1"/>
      <w:numFmt w:val="decimal"/>
      <w:lvlText w:val="%7."/>
      <w:lvlJc w:val="left"/>
      <w:pPr>
        <w:tabs>
          <w:tab w:val="num" w:pos="5040"/>
        </w:tabs>
        <w:ind w:left="5040" w:hanging="360"/>
      </w:pPr>
    </w:lvl>
    <w:lvl w:ilvl="7" w:tplc="50F4FAA4" w:tentative="1">
      <w:start w:val="1"/>
      <w:numFmt w:val="lowerLetter"/>
      <w:lvlText w:val="%8."/>
      <w:lvlJc w:val="left"/>
      <w:pPr>
        <w:tabs>
          <w:tab w:val="num" w:pos="5760"/>
        </w:tabs>
        <w:ind w:left="5760" w:hanging="360"/>
      </w:pPr>
    </w:lvl>
    <w:lvl w:ilvl="8" w:tplc="2CA8A468" w:tentative="1">
      <w:start w:val="1"/>
      <w:numFmt w:val="lowerRoman"/>
      <w:lvlText w:val="%9."/>
      <w:lvlJc w:val="right"/>
      <w:pPr>
        <w:tabs>
          <w:tab w:val="num" w:pos="6480"/>
        </w:tabs>
        <w:ind w:left="6480" w:hanging="180"/>
      </w:pPr>
    </w:lvl>
  </w:abstractNum>
  <w:abstractNum w:abstractNumId="21" w15:restartNumberingAfterBreak="0">
    <w:nsid w:val="55D76502"/>
    <w:multiLevelType w:val="hybridMultilevel"/>
    <w:tmpl w:val="B2BC6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D1115"/>
    <w:multiLevelType w:val="hybridMultilevel"/>
    <w:tmpl w:val="F210FE2E"/>
    <w:lvl w:ilvl="0" w:tplc="575A71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1097D"/>
    <w:multiLevelType w:val="hybridMultilevel"/>
    <w:tmpl w:val="59BE2B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87C7D"/>
    <w:multiLevelType w:val="hybridMultilevel"/>
    <w:tmpl w:val="4894D9A0"/>
    <w:lvl w:ilvl="0" w:tplc="337C9C50">
      <w:start w:val="1"/>
      <w:numFmt w:val="decimal"/>
      <w:lvlText w:val="%1."/>
      <w:lvlJc w:val="left"/>
      <w:pPr>
        <w:tabs>
          <w:tab w:val="num" w:pos="1604"/>
        </w:tabs>
        <w:ind w:left="1604" w:hanging="720"/>
      </w:pPr>
      <w:rPr>
        <w:rFonts w:cs="Times New Roman" w:hint="default"/>
        <w:b w:val="0"/>
        <w:i w:val="0"/>
        <w:color w:val="auto"/>
      </w:rPr>
    </w:lvl>
    <w:lvl w:ilvl="1" w:tplc="2A9022E8">
      <w:start w:val="1"/>
      <w:numFmt w:val="lowerRoman"/>
      <w:lvlText w:val="%2."/>
      <w:lvlJc w:val="left"/>
      <w:pPr>
        <w:tabs>
          <w:tab w:val="num" w:pos="1784"/>
        </w:tabs>
        <w:ind w:left="1784" w:hanging="360"/>
      </w:pPr>
      <w:rPr>
        <w:rFonts w:ascii="Times New Roman" w:hAnsi="Times New Roman" w:hint="default"/>
        <w:b w:val="0"/>
        <w:i w:val="0"/>
        <w:color w:val="auto"/>
        <w:sz w:val="22"/>
        <w:vertAlign w:val="baseline"/>
      </w:rPr>
    </w:lvl>
    <w:lvl w:ilvl="2" w:tplc="7326EAC2">
      <w:start w:val="18"/>
      <w:numFmt w:val="decimal"/>
      <w:lvlText w:val="%3"/>
      <w:lvlJc w:val="left"/>
      <w:pPr>
        <w:tabs>
          <w:tab w:val="num" w:pos="2684"/>
        </w:tabs>
        <w:ind w:left="2684" w:hanging="360"/>
      </w:pPr>
      <w:rPr>
        <w:rFonts w:hint="default"/>
      </w:rPr>
    </w:lvl>
    <w:lvl w:ilvl="3" w:tplc="914C8D6E" w:tentative="1">
      <w:start w:val="1"/>
      <w:numFmt w:val="decimal"/>
      <w:lvlText w:val="%4."/>
      <w:lvlJc w:val="left"/>
      <w:pPr>
        <w:tabs>
          <w:tab w:val="num" w:pos="3224"/>
        </w:tabs>
        <w:ind w:left="3224" w:hanging="360"/>
      </w:pPr>
      <w:rPr>
        <w:rFonts w:cs="Times New Roman"/>
      </w:rPr>
    </w:lvl>
    <w:lvl w:ilvl="4" w:tplc="1FCC1BDA" w:tentative="1">
      <w:start w:val="1"/>
      <w:numFmt w:val="lowerLetter"/>
      <w:lvlText w:val="%5."/>
      <w:lvlJc w:val="left"/>
      <w:pPr>
        <w:tabs>
          <w:tab w:val="num" w:pos="3944"/>
        </w:tabs>
        <w:ind w:left="3944" w:hanging="360"/>
      </w:pPr>
      <w:rPr>
        <w:rFonts w:cs="Times New Roman"/>
      </w:rPr>
    </w:lvl>
    <w:lvl w:ilvl="5" w:tplc="F4F40036" w:tentative="1">
      <w:start w:val="1"/>
      <w:numFmt w:val="lowerRoman"/>
      <w:lvlText w:val="%6."/>
      <w:lvlJc w:val="right"/>
      <w:pPr>
        <w:tabs>
          <w:tab w:val="num" w:pos="4664"/>
        </w:tabs>
        <w:ind w:left="4664" w:hanging="180"/>
      </w:pPr>
      <w:rPr>
        <w:rFonts w:cs="Times New Roman"/>
      </w:rPr>
    </w:lvl>
    <w:lvl w:ilvl="6" w:tplc="53C05B3E" w:tentative="1">
      <w:start w:val="1"/>
      <w:numFmt w:val="decimal"/>
      <w:lvlText w:val="%7."/>
      <w:lvlJc w:val="left"/>
      <w:pPr>
        <w:tabs>
          <w:tab w:val="num" w:pos="5384"/>
        </w:tabs>
        <w:ind w:left="5384" w:hanging="360"/>
      </w:pPr>
      <w:rPr>
        <w:rFonts w:cs="Times New Roman"/>
      </w:rPr>
    </w:lvl>
    <w:lvl w:ilvl="7" w:tplc="AC76A6DC" w:tentative="1">
      <w:start w:val="1"/>
      <w:numFmt w:val="lowerLetter"/>
      <w:lvlText w:val="%8."/>
      <w:lvlJc w:val="left"/>
      <w:pPr>
        <w:tabs>
          <w:tab w:val="num" w:pos="6104"/>
        </w:tabs>
        <w:ind w:left="6104" w:hanging="360"/>
      </w:pPr>
      <w:rPr>
        <w:rFonts w:cs="Times New Roman"/>
      </w:rPr>
    </w:lvl>
    <w:lvl w:ilvl="8" w:tplc="F9F866FE" w:tentative="1">
      <w:start w:val="1"/>
      <w:numFmt w:val="lowerRoman"/>
      <w:lvlText w:val="%9."/>
      <w:lvlJc w:val="right"/>
      <w:pPr>
        <w:tabs>
          <w:tab w:val="num" w:pos="6824"/>
        </w:tabs>
        <w:ind w:left="6824" w:hanging="180"/>
      </w:pPr>
      <w:rPr>
        <w:rFonts w:cs="Times New Roman"/>
      </w:rPr>
    </w:lvl>
  </w:abstractNum>
  <w:abstractNum w:abstractNumId="25" w15:restartNumberingAfterBreak="0">
    <w:nsid w:val="676B48BD"/>
    <w:multiLevelType w:val="hybridMultilevel"/>
    <w:tmpl w:val="F72CF75E"/>
    <w:lvl w:ilvl="0" w:tplc="3C1AFB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B0174"/>
    <w:multiLevelType w:val="hybridMultilevel"/>
    <w:tmpl w:val="E8966096"/>
    <w:lvl w:ilvl="0" w:tplc="B42A422E">
      <w:start w:val="1"/>
      <w:numFmt w:val="bullet"/>
      <w:lvlText w:val=""/>
      <w:lvlJc w:val="left"/>
      <w:pPr>
        <w:tabs>
          <w:tab w:val="num" w:pos="720"/>
        </w:tabs>
        <w:ind w:left="720" w:hanging="360"/>
      </w:pPr>
      <w:rPr>
        <w:rFonts w:ascii="Symbol" w:hAnsi="Symbol" w:hint="default"/>
      </w:rPr>
    </w:lvl>
    <w:lvl w:ilvl="1" w:tplc="65281F90" w:tentative="1">
      <w:start w:val="1"/>
      <w:numFmt w:val="bullet"/>
      <w:lvlText w:val="o"/>
      <w:lvlJc w:val="left"/>
      <w:pPr>
        <w:tabs>
          <w:tab w:val="num" w:pos="1440"/>
        </w:tabs>
        <w:ind w:left="1440" w:hanging="360"/>
      </w:pPr>
      <w:rPr>
        <w:rFonts w:ascii="Courier New" w:hAnsi="Courier New" w:cs="Courier New" w:hint="default"/>
      </w:rPr>
    </w:lvl>
    <w:lvl w:ilvl="2" w:tplc="2456811C" w:tentative="1">
      <w:start w:val="1"/>
      <w:numFmt w:val="bullet"/>
      <w:lvlText w:val=""/>
      <w:lvlJc w:val="left"/>
      <w:pPr>
        <w:tabs>
          <w:tab w:val="num" w:pos="2160"/>
        </w:tabs>
        <w:ind w:left="2160" w:hanging="360"/>
      </w:pPr>
      <w:rPr>
        <w:rFonts w:ascii="Wingdings" w:hAnsi="Wingdings" w:hint="default"/>
      </w:rPr>
    </w:lvl>
    <w:lvl w:ilvl="3" w:tplc="6E2E3C9A" w:tentative="1">
      <w:start w:val="1"/>
      <w:numFmt w:val="bullet"/>
      <w:lvlText w:val=""/>
      <w:lvlJc w:val="left"/>
      <w:pPr>
        <w:tabs>
          <w:tab w:val="num" w:pos="2880"/>
        </w:tabs>
        <w:ind w:left="2880" w:hanging="360"/>
      </w:pPr>
      <w:rPr>
        <w:rFonts w:ascii="Symbol" w:hAnsi="Symbol" w:hint="default"/>
      </w:rPr>
    </w:lvl>
    <w:lvl w:ilvl="4" w:tplc="5E426918" w:tentative="1">
      <w:start w:val="1"/>
      <w:numFmt w:val="bullet"/>
      <w:lvlText w:val="o"/>
      <w:lvlJc w:val="left"/>
      <w:pPr>
        <w:tabs>
          <w:tab w:val="num" w:pos="3600"/>
        </w:tabs>
        <w:ind w:left="3600" w:hanging="360"/>
      </w:pPr>
      <w:rPr>
        <w:rFonts w:ascii="Courier New" w:hAnsi="Courier New" w:cs="Courier New" w:hint="default"/>
      </w:rPr>
    </w:lvl>
    <w:lvl w:ilvl="5" w:tplc="28CA25B0" w:tentative="1">
      <w:start w:val="1"/>
      <w:numFmt w:val="bullet"/>
      <w:lvlText w:val=""/>
      <w:lvlJc w:val="left"/>
      <w:pPr>
        <w:tabs>
          <w:tab w:val="num" w:pos="4320"/>
        </w:tabs>
        <w:ind w:left="4320" w:hanging="360"/>
      </w:pPr>
      <w:rPr>
        <w:rFonts w:ascii="Wingdings" w:hAnsi="Wingdings" w:hint="default"/>
      </w:rPr>
    </w:lvl>
    <w:lvl w:ilvl="6" w:tplc="3E48E346" w:tentative="1">
      <w:start w:val="1"/>
      <w:numFmt w:val="bullet"/>
      <w:lvlText w:val=""/>
      <w:lvlJc w:val="left"/>
      <w:pPr>
        <w:tabs>
          <w:tab w:val="num" w:pos="5040"/>
        </w:tabs>
        <w:ind w:left="5040" w:hanging="360"/>
      </w:pPr>
      <w:rPr>
        <w:rFonts w:ascii="Symbol" w:hAnsi="Symbol" w:hint="default"/>
      </w:rPr>
    </w:lvl>
    <w:lvl w:ilvl="7" w:tplc="BAF03EF2" w:tentative="1">
      <w:start w:val="1"/>
      <w:numFmt w:val="bullet"/>
      <w:lvlText w:val="o"/>
      <w:lvlJc w:val="left"/>
      <w:pPr>
        <w:tabs>
          <w:tab w:val="num" w:pos="5760"/>
        </w:tabs>
        <w:ind w:left="5760" w:hanging="360"/>
      </w:pPr>
      <w:rPr>
        <w:rFonts w:ascii="Courier New" w:hAnsi="Courier New" w:cs="Courier New" w:hint="default"/>
      </w:rPr>
    </w:lvl>
    <w:lvl w:ilvl="8" w:tplc="520CF31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81A4A"/>
    <w:multiLevelType w:val="hybridMultilevel"/>
    <w:tmpl w:val="5F942D08"/>
    <w:lvl w:ilvl="0" w:tplc="BBD8CF6A">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2E06AD"/>
    <w:multiLevelType w:val="hybridMultilevel"/>
    <w:tmpl w:val="B66E2C0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6C0D68"/>
    <w:multiLevelType w:val="hybridMultilevel"/>
    <w:tmpl w:val="4DD2F52C"/>
    <w:lvl w:ilvl="0" w:tplc="55589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866B4"/>
    <w:multiLevelType w:val="hybridMultilevel"/>
    <w:tmpl w:val="C254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74788"/>
    <w:multiLevelType w:val="hybridMultilevel"/>
    <w:tmpl w:val="CE68EEAA"/>
    <w:lvl w:ilvl="0" w:tplc="00921FB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6"/>
  </w:num>
  <w:num w:numId="4">
    <w:abstractNumId w:val="11"/>
  </w:num>
  <w:num w:numId="5">
    <w:abstractNumId w:val="1"/>
  </w:num>
  <w:num w:numId="6">
    <w:abstractNumId w:val="3"/>
  </w:num>
  <w:num w:numId="7">
    <w:abstractNumId w:val="24"/>
  </w:num>
  <w:num w:numId="8">
    <w:abstractNumId w:val="20"/>
  </w:num>
  <w:num w:numId="9">
    <w:abstractNumId w:val="21"/>
  </w:num>
  <w:num w:numId="10">
    <w:abstractNumId w:val="8"/>
  </w:num>
  <w:num w:numId="11">
    <w:abstractNumId w:val="19"/>
  </w:num>
  <w:num w:numId="12">
    <w:abstractNumId w:val="29"/>
  </w:num>
  <w:num w:numId="13">
    <w:abstractNumId w:val="22"/>
  </w:num>
  <w:num w:numId="14">
    <w:abstractNumId w:val="5"/>
  </w:num>
  <w:num w:numId="15">
    <w:abstractNumId w:val="25"/>
  </w:num>
  <w:num w:numId="16">
    <w:abstractNumId w:val="7"/>
  </w:num>
  <w:num w:numId="17">
    <w:abstractNumId w:val="31"/>
  </w:num>
  <w:num w:numId="18">
    <w:abstractNumId w:val="15"/>
  </w:num>
  <w:num w:numId="19">
    <w:abstractNumId w:val="27"/>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6"/>
  </w:num>
  <w:num w:numId="25">
    <w:abstractNumId w:val="2"/>
  </w:num>
  <w:num w:numId="26">
    <w:abstractNumId w:val="30"/>
  </w:num>
  <w:num w:numId="27">
    <w:abstractNumId w:val="10"/>
  </w:num>
  <w:num w:numId="28">
    <w:abstractNumId w:val="18"/>
  </w:num>
  <w:num w:numId="29">
    <w:abstractNumId w:val="4"/>
  </w:num>
  <w:num w:numId="30">
    <w:abstractNumId w:val="23"/>
  </w:num>
  <w:num w:numId="31">
    <w:abstractNumId w:val="28"/>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A5"/>
    <w:rsid w:val="00012BCB"/>
    <w:rsid w:val="000224F5"/>
    <w:rsid w:val="00024896"/>
    <w:rsid w:val="00026C05"/>
    <w:rsid w:val="00027E1A"/>
    <w:rsid w:val="00044F9F"/>
    <w:rsid w:val="00050FF7"/>
    <w:rsid w:val="0005350E"/>
    <w:rsid w:val="00055221"/>
    <w:rsid w:val="00067E5F"/>
    <w:rsid w:val="00074237"/>
    <w:rsid w:val="00077F28"/>
    <w:rsid w:val="000A016E"/>
    <w:rsid w:val="000A5EEB"/>
    <w:rsid w:val="000A6F4A"/>
    <w:rsid w:val="000B34AC"/>
    <w:rsid w:val="000C7B74"/>
    <w:rsid w:val="000D3575"/>
    <w:rsid w:val="000E102E"/>
    <w:rsid w:val="00100FDF"/>
    <w:rsid w:val="00101322"/>
    <w:rsid w:val="00115FD7"/>
    <w:rsid w:val="00120F4B"/>
    <w:rsid w:val="001229E3"/>
    <w:rsid w:val="0012537C"/>
    <w:rsid w:val="00127811"/>
    <w:rsid w:val="00130F8B"/>
    <w:rsid w:val="00140898"/>
    <w:rsid w:val="00142D38"/>
    <w:rsid w:val="001432A1"/>
    <w:rsid w:val="001452DD"/>
    <w:rsid w:val="00154940"/>
    <w:rsid w:val="00155B5D"/>
    <w:rsid w:val="00163A94"/>
    <w:rsid w:val="00167585"/>
    <w:rsid w:val="001722D2"/>
    <w:rsid w:val="001740B0"/>
    <w:rsid w:val="0017638B"/>
    <w:rsid w:val="001937A0"/>
    <w:rsid w:val="00194984"/>
    <w:rsid w:val="001A4113"/>
    <w:rsid w:val="001B7360"/>
    <w:rsid w:val="001C3CA6"/>
    <w:rsid w:val="001C423E"/>
    <w:rsid w:val="001C5CA3"/>
    <w:rsid w:val="001D1064"/>
    <w:rsid w:val="001D2F4E"/>
    <w:rsid w:val="001D462E"/>
    <w:rsid w:val="001D4CE5"/>
    <w:rsid w:val="002018D2"/>
    <w:rsid w:val="002020A0"/>
    <w:rsid w:val="00204B83"/>
    <w:rsid w:val="00215097"/>
    <w:rsid w:val="00221755"/>
    <w:rsid w:val="002273D8"/>
    <w:rsid w:val="00234011"/>
    <w:rsid w:val="00237351"/>
    <w:rsid w:val="002427ED"/>
    <w:rsid w:val="00266611"/>
    <w:rsid w:val="00266775"/>
    <w:rsid w:val="00272CBA"/>
    <w:rsid w:val="00281173"/>
    <w:rsid w:val="0028500E"/>
    <w:rsid w:val="002852CB"/>
    <w:rsid w:val="0028615C"/>
    <w:rsid w:val="00290C25"/>
    <w:rsid w:val="002A0691"/>
    <w:rsid w:val="002B1B89"/>
    <w:rsid w:val="002C38C4"/>
    <w:rsid w:val="002D1334"/>
    <w:rsid w:val="002D682F"/>
    <w:rsid w:val="002D762F"/>
    <w:rsid w:val="002E3C41"/>
    <w:rsid w:val="002E6FD7"/>
    <w:rsid w:val="002F0DFD"/>
    <w:rsid w:val="00300ABA"/>
    <w:rsid w:val="00302976"/>
    <w:rsid w:val="00311A27"/>
    <w:rsid w:val="0031213B"/>
    <w:rsid w:val="003204EB"/>
    <w:rsid w:val="00345672"/>
    <w:rsid w:val="00354854"/>
    <w:rsid w:val="00361806"/>
    <w:rsid w:val="0039609F"/>
    <w:rsid w:val="003A0775"/>
    <w:rsid w:val="003A2193"/>
    <w:rsid w:val="003A29E3"/>
    <w:rsid w:val="003A7E09"/>
    <w:rsid w:val="003B56C7"/>
    <w:rsid w:val="003D0BE5"/>
    <w:rsid w:val="003D3FE3"/>
    <w:rsid w:val="003F6315"/>
    <w:rsid w:val="0041118B"/>
    <w:rsid w:val="0041273C"/>
    <w:rsid w:val="004160C4"/>
    <w:rsid w:val="00425462"/>
    <w:rsid w:val="0043066C"/>
    <w:rsid w:val="00436C34"/>
    <w:rsid w:val="0044135B"/>
    <w:rsid w:val="00447DE2"/>
    <w:rsid w:val="00451D33"/>
    <w:rsid w:val="00451EB7"/>
    <w:rsid w:val="0045468E"/>
    <w:rsid w:val="00466C71"/>
    <w:rsid w:val="004725D4"/>
    <w:rsid w:val="00481BEB"/>
    <w:rsid w:val="004863CE"/>
    <w:rsid w:val="00493C71"/>
    <w:rsid w:val="00497842"/>
    <w:rsid w:val="004B0560"/>
    <w:rsid w:val="004B1EDD"/>
    <w:rsid w:val="004B28AD"/>
    <w:rsid w:val="004B2D6E"/>
    <w:rsid w:val="004B3E6B"/>
    <w:rsid w:val="004B4874"/>
    <w:rsid w:val="004B6681"/>
    <w:rsid w:val="004C71D4"/>
    <w:rsid w:val="004D3E15"/>
    <w:rsid w:val="004D78D1"/>
    <w:rsid w:val="005062B4"/>
    <w:rsid w:val="00506A05"/>
    <w:rsid w:val="00507BB9"/>
    <w:rsid w:val="0051315A"/>
    <w:rsid w:val="00521C58"/>
    <w:rsid w:val="00522A1E"/>
    <w:rsid w:val="0053701D"/>
    <w:rsid w:val="005451F4"/>
    <w:rsid w:val="005456DF"/>
    <w:rsid w:val="00556B52"/>
    <w:rsid w:val="0056367B"/>
    <w:rsid w:val="00584ED4"/>
    <w:rsid w:val="00587D86"/>
    <w:rsid w:val="00596218"/>
    <w:rsid w:val="005A3970"/>
    <w:rsid w:val="005A5147"/>
    <w:rsid w:val="005B5D45"/>
    <w:rsid w:val="005C293F"/>
    <w:rsid w:val="005D0F9C"/>
    <w:rsid w:val="005D62CE"/>
    <w:rsid w:val="005E4809"/>
    <w:rsid w:val="005E5278"/>
    <w:rsid w:val="005F6C9C"/>
    <w:rsid w:val="00600AA4"/>
    <w:rsid w:val="00602579"/>
    <w:rsid w:val="00610462"/>
    <w:rsid w:val="00615E08"/>
    <w:rsid w:val="00620A54"/>
    <w:rsid w:val="00627DEA"/>
    <w:rsid w:val="00627FF8"/>
    <w:rsid w:val="00646FF9"/>
    <w:rsid w:val="0065063E"/>
    <w:rsid w:val="00651278"/>
    <w:rsid w:val="00653C76"/>
    <w:rsid w:val="006660D3"/>
    <w:rsid w:val="00676ADF"/>
    <w:rsid w:val="006867A4"/>
    <w:rsid w:val="00695DD5"/>
    <w:rsid w:val="006A3B34"/>
    <w:rsid w:val="006A3DBB"/>
    <w:rsid w:val="006C17AD"/>
    <w:rsid w:val="006C1A5F"/>
    <w:rsid w:val="006C658C"/>
    <w:rsid w:val="006D1EA0"/>
    <w:rsid w:val="006D398D"/>
    <w:rsid w:val="006F390C"/>
    <w:rsid w:val="00727C38"/>
    <w:rsid w:val="00727F92"/>
    <w:rsid w:val="00742666"/>
    <w:rsid w:val="007434A3"/>
    <w:rsid w:val="00756911"/>
    <w:rsid w:val="00765F9E"/>
    <w:rsid w:val="007666F0"/>
    <w:rsid w:val="00772475"/>
    <w:rsid w:val="00775C21"/>
    <w:rsid w:val="00776825"/>
    <w:rsid w:val="00784C8C"/>
    <w:rsid w:val="007A146D"/>
    <w:rsid w:val="007A4648"/>
    <w:rsid w:val="007B486B"/>
    <w:rsid w:val="007D01F2"/>
    <w:rsid w:val="007D0CE9"/>
    <w:rsid w:val="007D31D4"/>
    <w:rsid w:val="007D5EFE"/>
    <w:rsid w:val="007E2F01"/>
    <w:rsid w:val="007E3E6A"/>
    <w:rsid w:val="00800136"/>
    <w:rsid w:val="0080749D"/>
    <w:rsid w:val="008075BE"/>
    <w:rsid w:val="00811D22"/>
    <w:rsid w:val="00811D9D"/>
    <w:rsid w:val="00831402"/>
    <w:rsid w:val="00831707"/>
    <w:rsid w:val="008355A9"/>
    <w:rsid w:val="00855668"/>
    <w:rsid w:val="008573B2"/>
    <w:rsid w:val="008615FD"/>
    <w:rsid w:val="00870F32"/>
    <w:rsid w:val="00872F3C"/>
    <w:rsid w:val="00883ADC"/>
    <w:rsid w:val="00886C77"/>
    <w:rsid w:val="008916BB"/>
    <w:rsid w:val="008B2C0E"/>
    <w:rsid w:val="008D1050"/>
    <w:rsid w:val="008D776C"/>
    <w:rsid w:val="008E1645"/>
    <w:rsid w:val="008E2873"/>
    <w:rsid w:val="008E5577"/>
    <w:rsid w:val="008E649D"/>
    <w:rsid w:val="008F5354"/>
    <w:rsid w:val="00906FDE"/>
    <w:rsid w:val="009271BC"/>
    <w:rsid w:val="00932377"/>
    <w:rsid w:val="00952462"/>
    <w:rsid w:val="00965171"/>
    <w:rsid w:val="0096751A"/>
    <w:rsid w:val="00977671"/>
    <w:rsid w:val="00981ED5"/>
    <w:rsid w:val="00982E33"/>
    <w:rsid w:val="009909F8"/>
    <w:rsid w:val="009B46BA"/>
    <w:rsid w:val="009B5138"/>
    <w:rsid w:val="009B7C21"/>
    <w:rsid w:val="009D077C"/>
    <w:rsid w:val="009D33D2"/>
    <w:rsid w:val="009D6074"/>
    <w:rsid w:val="009E11BE"/>
    <w:rsid w:val="00A041F5"/>
    <w:rsid w:val="00A05F1A"/>
    <w:rsid w:val="00A11E57"/>
    <w:rsid w:val="00A11F88"/>
    <w:rsid w:val="00A14529"/>
    <w:rsid w:val="00A2181D"/>
    <w:rsid w:val="00A2795E"/>
    <w:rsid w:val="00A33079"/>
    <w:rsid w:val="00A41DE5"/>
    <w:rsid w:val="00A4429A"/>
    <w:rsid w:val="00A44CD6"/>
    <w:rsid w:val="00A51B99"/>
    <w:rsid w:val="00A56527"/>
    <w:rsid w:val="00A64C64"/>
    <w:rsid w:val="00A67216"/>
    <w:rsid w:val="00A73670"/>
    <w:rsid w:val="00A80178"/>
    <w:rsid w:val="00A80630"/>
    <w:rsid w:val="00A86C00"/>
    <w:rsid w:val="00A92C64"/>
    <w:rsid w:val="00AD181C"/>
    <w:rsid w:val="00AD3BA7"/>
    <w:rsid w:val="00AE36BF"/>
    <w:rsid w:val="00B022FF"/>
    <w:rsid w:val="00B03148"/>
    <w:rsid w:val="00B07312"/>
    <w:rsid w:val="00B24363"/>
    <w:rsid w:val="00B3023D"/>
    <w:rsid w:val="00B3189A"/>
    <w:rsid w:val="00B56491"/>
    <w:rsid w:val="00B61304"/>
    <w:rsid w:val="00B650D1"/>
    <w:rsid w:val="00B76382"/>
    <w:rsid w:val="00B8113E"/>
    <w:rsid w:val="00B81F0B"/>
    <w:rsid w:val="00B87843"/>
    <w:rsid w:val="00BA186C"/>
    <w:rsid w:val="00BA330C"/>
    <w:rsid w:val="00BA3E18"/>
    <w:rsid w:val="00BB6020"/>
    <w:rsid w:val="00BC0309"/>
    <w:rsid w:val="00BC1364"/>
    <w:rsid w:val="00BC3A98"/>
    <w:rsid w:val="00BD1A4F"/>
    <w:rsid w:val="00BE008B"/>
    <w:rsid w:val="00BE7A41"/>
    <w:rsid w:val="00C01736"/>
    <w:rsid w:val="00C0621F"/>
    <w:rsid w:val="00C13615"/>
    <w:rsid w:val="00C22516"/>
    <w:rsid w:val="00C2591A"/>
    <w:rsid w:val="00C30F2F"/>
    <w:rsid w:val="00C42020"/>
    <w:rsid w:val="00C44C64"/>
    <w:rsid w:val="00C53AA9"/>
    <w:rsid w:val="00C61AF9"/>
    <w:rsid w:val="00C61FE3"/>
    <w:rsid w:val="00C63892"/>
    <w:rsid w:val="00C80524"/>
    <w:rsid w:val="00C81964"/>
    <w:rsid w:val="00C83D14"/>
    <w:rsid w:val="00C96A5A"/>
    <w:rsid w:val="00CA04C7"/>
    <w:rsid w:val="00CA7B35"/>
    <w:rsid w:val="00CB4329"/>
    <w:rsid w:val="00CB58B2"/>
    <w:rsid w:val="00CC11A5"/>
    <w:rsid w:val="00CC77AA"/>
    <w:rsid w:val="00CE1676"/>
    <w:rsid w:val="00CE1903"/>
    <w:rsid w:val="00CF4A6C"/>
    <w:rsid w:val="00CF57E7"/>
    <w:rsid w:val="00CF686A"/>
    <w:rsid w:val="00D05B0E"/>
    <w:rsid w:val="00D131A5"/>
    <w:rsid w:val="00D24282"/>
    <w:rsid w:val="00D24D5F"/>
    <w:rsid w:val="00D31831"/>
    <w:rsid w:val="00D53D76"/>
    <w:rsid w:val="00D5653C"/>
    <w:rsid w:val="00D57384"/>
    <w:rsid w:val="00D65744"/>
    <w:rsid w:val="00D73B5E"/>
    <w:rsid w:val="00DA2E12"/>
    <w:rsid w:val="00DA77D7"/>
    <w:rsid w:val="00DB2B7A"/>
    <w:rsid w:val="00DB6995"/>
    <w:rsid w:val="00DC128D"/>
    <w:rsid w:val="00DD320A"/>
    <w:rsid w:val="00DD35F7"/>
    <w:rsid w:val="00DD6E46"/>
    <w:rsid w:val="00DF6597"/>
    <w:rsid w:val="00DF68E6"/>
    <w:rsid w:val="00DF7A9C"/>
    <w:rsid w:val="00E067C9"/>
    <w:rsid w:val="00E12808"/>
    <w:rsid w:val="00E16157"/>
    <w:rsid w:val="00E163B1"/>
    <w:rsid w:val="00E2293D"/>
    <w:rsid w:val="00E30E5D"/>
    <w:rsid w:val="00E331D9"/>
    <w:rsid w:val="00E34FBD"/>
    <w:rsid w:val="00E516C8"/>
    <w:rsid w:val="00E63327"/>
    <w:rsid w:val="00E64F4A"/>
    <w:rsid w:val="00E826D0"/>
    <w:rsid w:val="00E82C0E"/>
    <w:rsid w:val="00E82CCD"/>
    <w:rsid w:val="00E84FF3"/>
    <w:rsid w:val="00E91C76"/>
    <w:rsid w:val="00E95292"/>
    <w:rsid w:val="00E979C2"/>
    <w:rsid w:val="00EB63A8"/>
    <w:rsid w:val="00EC2669"/>
    <w:rsid w:val="00EC5865"/>
    <w:rsid w:val="00ED3820"/>
    <w:rsid w:val="00ED4010"/>
    <w:rsid w:val="00ED4CE4"/>
    <w:rsid w:val="00EE0968"/>
    <w:rsid w:val="00EF110E"/>
    <w:rsid w:val="00F045F0"/>
    <w:rsid w:val="00F072E2"/>
    <w:rsid w:val="00F076B8"/>
    <w:rsid w:val="00F07FB7"/>
    <w:rsid w:val="00F16336"/>
    <w:rsid w:val="00F20729"/>
    <w:rsid w:val="00F2502E"/>
    <w:rsid w:val="00F328B3"/>
    <w:rsid w:val="00F33F13"/>
    <w:rsid w:val="00F41174"/>
    <w:rsid w:val="00F42F7D"/>
    <w:rsid w:val="00F46190"/>
    <w:rsid w:val="00F53201"/>
    <w:rsid w:val="00F532BD"/>
    <w:rsid w:val="00F538A5"/>
    <w:rsid w:val="00F57ACE"/>
    <w:rsid w:val="00F62038"/>
    <w:rsid w:val="00F7427C"/>
    <w:rsid w:val="00F82B83"/>
    <w:rsid w:val="00F83B5A"/>
    <w:rsid w:val="00F96E85"/>
    <w:rsid w:val="00FA01B1"/>
    <w:rsid w:val="00FA6DB2"/>
    <w:rsid w:val="00FA7C3A"/>
    <w:rsid w:val="00FC17A1"/>
    <w:rsid w:val="00FC22E7"/>
    <w:rsid w:val="00FC4019"/>
    <w:rsid w:val="00FD0784"/>
    <w:rsid w:val="00FD5DEF"/>
    <w:rsid w:val="00FD7430"/>
    <w:rsid w:val="00FE2F89"/>
    <w:rsid w:val="00FE3A20"/>
    <w:rsid w:val="00FE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EAA401"/>
  <w15:docId w15:val="{C45297C2-C8B4-4344-992B-7DE11549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4C8D"/>
    <w:rPr>
      <w:rFonts w:ascii="Tahoma" w:hAnsi="Tahoma" w:cs="Tahoma"/>
      <w:sz w:val="16"/>
      <w:szCs w:val="16"/>
    </w:rPr>
  </w:style>
  <w:style w:type="character" w:customStyle="1" w:styleId="BalloonTextChar">
    <w:name w:val="Balloon Text Char"/>
    <w:link w:val="BalloonText"/>
    <w:rsid w:val="00304C8D"/>
    <w:rPr>
      <w:rFonts w:ascii="Tahoma" w:hAnsi="Tahoma" w:cs="Tahoma"/>
      <w:sz w:val="16"/>
      <w:szCs w:val="16"/>
      <w:lang w:val="es-ES" w:eastAsia="es-ES"/>
    </w:rPr>
  </w:style>
  <w:style w:type="paragraph" w:customStyle="1" w:styleId="ColorfulList-Accent11">
    <w:name w:val="Colorful List - Accent 11"/>
    <w:basedOn w:val="Normal"/>
    <w:uiPriority w:val="34"/>
    <w:qFormat/>
    <w:rsid w:val="009E1DD6"/>
    <w:pPr>
      <w:ind w:left="720"/>
    </w:pPr>
  </w:style>
  <w:style w:type="character" w:styleId="CommentReference">
    <w:name w:val="annotation reference"/>
    <w:semiHidden/>
    <w:rsid w:val="00840628"/>
    <w:rPr>
      <w:sz w:val="16"/>
      <w:szCs w:val="16"/>
      <w:lang w:val="es-ES" w:eastAsia="es-ES"/>
    </w:rPr>
  </w:style>
  <w:style w:type="paragraph" w:styleId="CommentText">
    <w:name w:val="annotation text"/>
    <w:basedOn w:val="Normal"/>
    <w:semiHidden/>
    <w:rsid w:val="00840628"/>
    <w:rPr>
      <w:sz w:val="20"/>
      <w:szCs w:val="20"/>
    </w:rPr>
  </w:style>
  <w:style w:type="paragraph" w:styleId="CommentSubject">
    <w:name w:val="annotation subject"/>
    <w:basedOn w:val="CommentText"/>
    <w:next w:val="CommentText"/>
    <w:semiHidden/>
    <w:rsid w:val="00840628"/>
    <w:rPr>
      <w:b/>
      <w:bCs/>
    </w:rPr>
  </w:style>
  <w:style w:type="table" w:styleId="TableGrid">
    <w:name w:val="Table Grid"/>
    <w:basedOn w:val="TableNormal"/>
    <w:rsid w:val="00832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320E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rPr>
  </w:style>
  <w:style w:type="character" w:customStyle="1" w:styleId="EndnoteTextChar">
    <w:name w:val="Endnote Text Char"/>
    <w:link w:val="EndnoteText"/>
    <w:rsid w:val="008320E6"/>
    <w:rPr>
      <w:rFonts w:ascii="CG Times" w:eastAsia="Times New Roman" w:hAnsi="CG Times"/>
      <w:sz w:val="22"/>
      <w:lang w:val="es-ES" w:eastAsia="es-ES"/>
    </w:rPr>
  </w:style>
  <w:style w:type="paragraph" w:styleId="Title">
    <w:name w:val="Title"/>
    <w:basedOn w:val="Normal"/>
    <w:link w:val="TitleChar"/>
    <w:qFormat/>
    <w:rsid w:val="008320E6"/>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eastAsia="Times New Roman" w:hAnsi="Arial" w:cs="Arial"/>
      <w:b/>
      <w:bCs/>
      <w:spacing w:val="-2"/>
      <w:sz w:val="22"/>
      <w:szCs w:val="22"/>
    </w:rPr>
  </w:style>
  <w:style w:type="character" w:customStyle="1" w:styleId="TitleChar">
    <w:name w:val="Title Char"/>
    <w:link w:val="Title"/>
    <w:rsid w:val="008320E6"/>
    <w:rPr>
      <w:rFonts w:ascii="Arial" w:eastAsia="Times New Roman" w:hAnsi="Arial" w:cs="Arial"/>
      <w:b/>
      <w:bCs/>
      <w:spacing w:val="-2"/>
      <w:sz w:val="22"/>
      <w:szCs w:val="22"/>
      <w:lang w:val="es-ES" w:eastAsia="es-ES"/>
    </w:rPr>
  </w:style>
  <w:style w:type="paragraph" w:styleId="Header">
    <w:name w:val="header"/>
    <w:basedOn w:val="Normal"/>
    <w:link w:val="HeaderChar"/>
    <w:uiPriority w:val="99"/>
    <w:rsid w:val="00A01528"/>
    <w:pPr>
      <w:tabs>
        <w:tab w:val="center" w:pos="4680"/>
        <w:tab w:val="right" w:pos="9360"/>
      </w:tabs>
    </w:pPr>
  </w:style>
  <w:style w:type="character" w:customStyle="1" w:styleId="HeaderChar">
    <w:name w:val="Header Char"/>
    <w:link w:val="Header"/>
    <w:uiPriority w:val="99"/>
    <w:rsid w:val="00A01528"/>
    <w:rPr>
      <w:sz w:val="24"/>
      <w:szCs w:val="24"/>
      <w:lang w:val="es-ES" w:eastAsia="es-ES"/>
    </w:rPr>
  </w:style>
  <w:style w:type="paragraph" w:styleId="Footer">
    <w:name w:val="footer"/>
    <w:basedOn w:val="Normal"/>
    <w:link w:val="FooterChar"/>
    <w:uiPriority w:val="99"/>
    <w:rsid w:val="00A01528"/>
    <w:pPr>
      <w:tabs>
        <w:tab w:val="center" w:pos="4680"/>
        <w:tab w:val="right" w:pos="9360"/>
      </w:tabs>
    </w:pPr>
  </w:style>
  <w:style w:type="character" w:customStyle="1" w:styleId="FooterChar">
    <w:name w:val="Footer Char"/>
    <w:link w:val="Footer"/>
    <w:uiPriority w:val="99"/>
    <w:rsid w:val="00A01528"/>
    <w:rPr>
      <w:sz w:val="24"/>
      <w:szCs w:val="24"/>
      <w:lang w:val="es-ES" w:eastAsia="es-ES"/>
    </w:rPr>
  </w:style>
  <w:style w:type="paragraph" w:customStyle="1" w:styleId="Prrafodelista">
    <w:name w:val="Párrafo de lista"/>
    <w:basedOn w:val="Normal"/>
    <w:uiPriority w:val="34"/>
    <w:qFormat/>
    <w:rsid w:val="000B75A2"/>
    <w:pPr>
      <w:ind w:left="708"/>
    </w:pPr>
  </w:style>
  <w:style w:type="character" w:styleId="PageNumber">
    <w:name w:val="page number"/>
    <w:basedOn w:val="DefaultParagraphFont"/>
    <w:rsid w:val="00142D38"/>
  </w:style>
  <w:style w:type="character" w:styleId="Hyperlink">
    <w:name w:val="Hyperlink"/>
    <w:rsid w:val="00F045F0"/>
    <w:rPr>
      <w:color w:val="0000FF"/>
      <w:u w:val="single"/>
    </w:rPr>
  </w:style>
  <w:style w:type="character" w:styleId="FollowedHyperlink">
    <w:name w:val="FollowedHyperlink"/>
    <w:rsid w:val="00FC17A1"/>
    <w:rPr>
      <w:color w:val="800080"/>
      <w:u w:val="single"/>
    </w:rPr>
  </w:style>
  <w:style w:type="paragraph" w:customStyle="1" w:styleId="Default">
    <w:name w:val="Default"/>
    <w:rsid w:val="005062B4"/>
    <w:pPr>
      <w:autoSpaceDE w:val="0"/>
      <w:autoSpaceDN w:val="0"/>
      <w:adjustRightInd w:val="0"/>
    </w:pPr>
    <w:rPr>
      <w:rFonts w:eastAsia="Times New Roman"/>
      <w:color w:val="000000"/>
      <w:sz w:val="24"/>
      <w:szCs w:val="24"/>
    </w:rPr>
  </w:style>
  <w:style w:type="paragraph" w:styleId="FootnoteText">
    <w:name w:val="footnote text"/>
    <w:basedOn w:val="Normal"/>
    <w:link w:val="FootnoteTextChar"/>
    <w:uiPriority w:val="99"/>
    <w:rsid w:val="00DD320A"/>
    <w:rPr>
      <w:sz w:val="20"/>
      <w:szCs w:val="20"/>
    </w:rPr>
  </w:style>
  <w:style w:type="character" w:customStyle="1" w:styleId="FootnoteTextChar">
    <w:name w:val="Footnote Text Char"/>
    <w:link w:val="FootnoteText"/>
    <w:uiPriority w:val="99"/>
    <w:rsid w:val="00DD320A"/>
    <w:rPr>
      <w:lang w:val="es-ES" w:eastAsia="es-ES"/>
    </w:rPr>
  </w:style>
  <w:style w:type="character" w:styleId="FootnoteReference">
    <w:name w:val="footnote reference"/>
    <w:uiPriority w:val="99"/>
    <w:rsid w:val="00DD320A"/>
    <w:rPr>
      <w:vertAlign w:val="superscript"/>
    </w:rPr>
  </w:style>
  <w:style w:type="paragraph" w:customStyle="1" w:styleId="ColorfulShading-Accent11">
    <w:name w:val="Colorful Shading - Accent 11"/>
    <w:hidden/>
    <w:uiPriority w:val="99"/>
    <w:semiHidden/>
    <w:rsid w:val="00DD320A"/>
    <w:rPr>
      <w:sz w:val="24"/>
      <w:szCs w:val="24"/>
      <w:lang w:val="es-ES" w:eastAsia="es-ES"/>
    </w:rPr>
  </w:style>
  <w:style w:type="paragraph" w:styleId="BodyText">
    <w:name w:val="Body Text"/>
    <w:basedOn w:val="Normal"/>
    <w:link w:val="BodyTextChar"/>
    <w:rsid w:val="001D2F4E"/>
    <w:pPr>
      <w:spacing w:after="120"/>
      <w:jc w:val="both"/>
    </w:pPr>
    <w:rPr>
      <w:rFonts w:eastAsia="Times New Roman"/>
      <w:snapToGrid w:val="0"/>
      <w:sz w:val="22"/>
      <w:szCs w:val="22"/>
      <w:lang w:val="es-CO" w:eastAsia="en-US"/>
    </w:rPr>
  </w:style>
  <w:style w:type="character" w:customStyle="1" w:styleId="BodyTextChar">
    <w:name w:val="Body Text Char"/>
    <w:link w:val="BodyText"/>
    <w:rsid w:val="001D2F4E"/>
    <w:rPr>
      <w:rFonts w:eastAsia="Times New Roman"/>
      <w:snapToGrid w:val="0"/>
      <w:sz w:val="22"/>
      <w:szCs w:val="22"/>
      <w:lang w:val="es-CO"/>
    </w:rPr>
  </w:style>
  <w:style w:type="paragraph" w:styleId="ListParagraph">
    <w:name w:val="List Paragraph"/>
    <w:basedOn w:val="Normal"/>
    <w:uiPriority w:val="34"/>
    <w:qFormat/>
    <w:rsid w:val="001D2F4E"/>
    <w:pPr>
      <w:ind w:left="720"/>
      <w:contextualSpacing/>
    </w:pPr>
    <w:rPr>
      <w:rFonts w:eastAsia="Times New Roman"/>
      <w:lang w:val="en-US" w:eastAsia="en-US"/>
    </w:rPr>
  </w:style>
  <w:style w:type="paragraph" w:styleId="Revision">
    <w:name w:val="Revision"/>
    <w:hidden/>
    <w:uiPriority w:val="99"/>
    <w:semiHidden/>
    <w:rsid w:val="00D24282"/>
    <w:rPr>
      <w:sz w:val="24"/>
      <w:szCs w:val="24"/>
      <w:lang w:val="es-ES" w:eastAsia="es-ES"/>
    </w:rPr>
  </w:style>
  <w:style w:type="character" w:customStyle="1" w:styleId="ff6">
    <w:name w:val="ff6"/>
    <w:basedOn w:val="DefaultParagraphFont"/>
    <w:rsid w:val="009E11BE"/>
  </w:style>
  <w:style w:type="character" w:customStyle="1" w:styleId="ff4">
    <w:name w:val="ff4"/>
    <w:basedOn w:val="DefaultParagraphFont"/>
    <w:rsid w:val="009E11BE"/>
  </w:style>
  <w:style w:type="character" w:customStyle="1" w:styleId="UnresolvedMention">
    <w:name w:val="Unresolved Mention"/>
    <w:basedOn w:val="DefaultParagraphFont"/>
    <w:uiPriority w:val="99"/>
    <w:semiHidden/>
    <w:unhideWhenUsed/>
    <w:rsid w:val="00D2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0656">
      <w:bodyDiv w:val="1"/>
      <w:marLeft w:val="0"/>
      <w:marRight w:val="0"/>
      <w:marTop w:val="0"/>
      <w:marBottom w:val="0"/>
      <w:divBdr>
        <w:top w:val="none" w:sz="0" w:space="0" w:color="auto"/>
        <w:left w:val="none" w:sz="0" w:space="0" w:color="auto"/>
        <w:bottom w:val="none" w:sz="0" w:space="0" w:color="auto"/>
        <w:right w:val="none" w:sz="0" w:space="0" w:color="auto"/>
      </w:divBdr>
    </w:div>
    <w:div w:id="198709295">
      <w:bodyDiv w:val="1"/>
      <w:marLeft w:val="0"/>
      <w:marRight w:val="0"/>
      <w:marTop w:val="0"/>
      <w:marBottom w:val="0"/>
      <w:divBdr>
        <w:top w:val="none" w:sz="0" w:space="0" w:color="auto"/>
        <w:left w:val="none" w:sz="0" w:space="0" w:color="auto"/>
        <w:bottom w:val="none" w:sz="0" w:space="0" w:color="auto"/>
        <w:right w:val="none" w:sz="0" w:space="0" w:color="auto"/>
      </w:divBdr>
    </w:div>
    <w:div w:id="224997905">
      <w:bodyDiv w:val="1"/>
      <w:marLeft w:val="0"/>
      <w:marRight w:val="0"/>
      <w:marTop w:val="0"/>
      <w:marBottom w:val="0"/>
      <w:divBdr>
        <w:top w:val="none" w:sz="0" w:space="0" w:color="auto"/>
        <w:left w:val="none" w:sz="0" w:space="0" w:color="auto"/>
        <w:bottom w:val="none" w:sz="0" w:space="0" w:color="auto"/>
        <w:right w:val="none" w:sz="0" w:space="0" w:color="auto"/>
      </w:divBdr>
    </w:div>
    <w:div w:id="475143893">
      <w:bodyDiv w:val="1"/>
      <w:marLeft w:val="0"/>
      <w:marRight w:val="0"/>
      <w:marTop w:val="0"/>
      <w:marBottom w:val="0"/>
      <w:divBdr>
        <w:top w:val="none" w:sz="0" w:space="0" w:color="auto"/>
        <w:left w:val="none" w:sz="0" w:space="0" w:color="auto"/>
        <w:bottom w:val="none" w:sz="0" w:space="0" w:color="auto"/>
        <w:right w:val="none" w:sz="0" w:space="0" w:color="auto"/>
      </w:divBdr>
    </w:div>
    <w:div w:id="592936092">
      <w:bodyDiv w:val="1"/>
      <w:marLeft w:val="0"/>
      <w:marRight w:val="0"/>
      <w:marTop w:val="0"/>
      <w:marBottom w:val="0"/>
      <w:divBdr>
        <w:top w:val="none" w:sz="0" w:space="0" w:color="auto"/>
        <w:left w:val="none" w:sz="0" w:space="0" w:color="auto"/>
        <w:bottom w:val="none" w:sz="0" w:space="0" w:color="auto"/>
        <w:right w:val="none" w:sz="0" w:space="0" w:color="auto"/>
      </w:divBdr>
    </w:div>
    <w:div w:id="925110499">
      <w:bodyDiv w:val="1"/>
      <w:marLeft w:val="0"/>
      <w:marRight w:val="0"/>
      <w:marTop w:val="0"/>
      <w:marBottom w:val="0"/>
      <w:divBdr>
        <w:top w:val="none" w:sz="0" w:space="0" w:color="auto"/>
        <w:left w:val="none" w:sz="0" w:space="0" w:color="auto"/>
        <w:bottom w:val="none" w:sz="0" w:space="0" w:color="auto"/>
        <w:right w:val="none" w:sz="0" w:space="0" w:color="auto"/>
      </w:divBdr>
    </w:div>
    <w:div w:id="999701638">
      <w:bodyDiv w:val="1"/>
      <w:marLeft w:val="0"/>
      <w:marRight w:val="0"/>
      <w:marTop w:val="0"/>
      <w:marBottom w:val="0"/>
      <w:divBdr>
        <w:top w:val="none" w:sz="0" w:space="0" w:color="auto"/>
        <w:left w:val="none" w:sz="0" w:space="0" w:color="auto"/>
        <w:bottom w:val="none" w:sz="0" w:space="0" w:color="auto"/>
        <w:right w:val="none" w:sz="0" w:space="0" w:color="auto"/>
      </w:divBdr>
      <w:divsChild>
        <w:div w:id="599725437">
          <w:marLeft w:val="0"/>
          <w:marRight w:val="0"/>
          <w:marTop w:val="0"/>
          <w:marBottom w:val="0"/>
          <w:divBdr>
            <w:top w:val="none" w:sz="0" w:space="0" w:color="auto"/>
            <w:left w:val="none" w:sz="0" w:space="0" w:color="auto"/>
            <w:bottom w:val="none" w:sz="0" w:space="0" w:color="auto"/>
            <w:right w:val="none" w:sz="0" w:space="0" w:color="auto"/>
          </w:divBdr>
        </w:div>
        <w:div w:id="2101559029">
          <w:marLeft w:val="0"/>
          <w:marRight w:val="0"/>
          <w:marTop w:val="0"/>
          <w:marBottom w:val="0"/>
          <w:divBdr>
            <w:top w:val="none" w:sz="0" w:space="0" w:color="auto"/>
            <w:left w:val="none" w:sz="0" w:space="0" w:color="auto"/>
            <w:bottom w:val="none" w:sz="0" w:space="0" w:color="auto"/>
            <w:right w:val="none" w:sz="0" w:space="0" w:color="auto"/>
          </w:divBdr>
        </w:div>
        <w:div w:id="1203634801">
          <w:marLeft w:val="0"/>
          <w:marRight w:val="0"/>
          <w:marTop w:val="0"/>
          <w:marBottom w:val="0"/>
          <w:divBdr>
            <w:top w:val="none" w:sz="0" w:space="0" w:color="auto"/>
            <w:left w:val="none" w:sz="0" w:space="0" w:color="auto"/>
            <w:bottom w:val="none" w:sz="0" w:space="0" w:color="auto"/>
            <w:right w:val="none" w:sz="0" w:space="0" w:color="auto"/>
          </w:divBdr>
        </w:div>
      </w:divsChild>
    </w:div>
    <w:div w:id="1188908820">
      <w:bodyDiv w:val="1"/>
      <w:marLeft w:val="0"/>
      <w:marRight w:val="0"/>
      <w:marTop w:val="0"/>
      <w:marBottom w:val="0"/>
      <w:divBdr>
        <w:top w:val="none" w:sz="0" w:space="0" w:color="auto"/>
        <w:left w:val="none" w:sz="0" w:space="0" w:color="auto"/>
        <w:bottom w:val="none" w:sz="0" w:space="0" w:color="auto"/>
        <w:right w:val="none" w:sz="0" w:space="0" w:color="auto"/>
      </w:divBdr>
    </w:div>
    <w:div w:id="1371803277">
      <w:bodyDiv w:val="1"/>
      <w:marLeft w:val="0"/>
      <w:marRight w:val="0"/>
      <w:marTop w:val="0"/>
      <w:marBottom w:val="0"/>
      <w:divBdr>
        <w:top w:val="none" w:sz="0" w:space="0" w:color="auto"/>
        <w:left w:val="none" w:sz="0" w:space="0" w:color="auto"/>
        <w:bottom w:val="none" w:sz="0" w:space="0" w:color="auto"/>
        <w:right w:val="none" w:sz="0" w:space="0" w:color="auto"/>
      </w:divBdr>
    </w:div>
    <w:div w:id="1415585811">
      <w:bodyDiv w:val="1"/>
      <w:marLeft w:val="0"/>
      <w:marRight w:val="0"/>
      <w:marTop w:val="0"/>
      <w:marBottom w:val="0"/>
      <w:divBdr>
        <w:top w:val="none" w:sz="0" w:space="0" w:color="auto"/>
        <w:left w:val="none" w:sz="0" w:space="0" w:color="auto"/>
        <w:bottom w:val="none" w:sz="0" w:space="0" w:color="auto"/>
        <w:right w:val="none" w:sz="0" w:space="0" w:color="auto"/>
      </w:divBdr>
    </w:div>
    <w:div w:id="1540052456">
      <w:bodyDiv w:val="1"/>
      <w:marLeft w:val="0"/>
      <w:marRight w:val="0"/>
      <w:marTop w:val="0"/>
      <w:marBottom w:val="0"/>
      <w:divBdr>
        <w:top w:val="none" w:sz="0" w:space="0" w:color="auto"/>
        <w:left w:val="none" w:sz="0" w:space="0" w:color="auto"/>
        <w:bottom w:val="none" w:sz="0" w:space="0" w:color="auto"/>
        <w:right w:val="none" w:sz="0" w:space="0" w:color="auto"/>
      </w:divBdr>
      <w:divsChild>
        <w:div w:id="262498160">
          <w:marLeft w:val="0"/>
          <w:marRight w:val="0"/>
          <w:marTop w:val="0"/>
          <w:marBottom w:val="0"/>
          <w:divBdr>
            <w:top w:val="none" w:sz="0" w:space="0" w:color="auto"/>
            <w:left w:val="none" w:sz="0" w:space="0" w:color="auto"/>
            <w:bottom w:val="none" w:sz="0" w:space="0" w:color="auto"/>
            <w:right w:val="none" w:sz="0" w:space="0" w:color="auto"/>
          </w:divBdr>
        </w:div>
        <w:div w:id="1486894263">
          <w:marLeft w:val="0"/>
          <w:marRight w:val="0"/>
          <w:marTop w:val="0"/>
          <w:marBottom w:val="0"/>
          <w:divBdr>
            <w:top w:val="none" w:sz="0" w:space="0" w:color="auto"/>
            <w:left w:val="none" w:sz="0" w:space="0" w:color="auto"/>
            <w:bottom w:val="none" w:sz="0" w:space="0" w:color="auto"/>
            <w:right w:val="none" w:sz="0" w:space="0" w:color="auto"/>
          </w:divBdr>
        </w:div>
      </w:divsChild>
    </w:div>
    <w:div w:id="1541356097">
      <w:bodyDiv w:val="1"/>
      <w:marLeft w:val="0"/>
      <w:marRight w:val="0"/>
      <w:marTop w:val="0"/>
      <w:marBottom w:val="0"/>
      <w:divBdr>
        <w:top w:val="none" w:sz="0" w:space="0" w:color="auto"/>
        <w:left w:val="none" w:sz="0" w:space="0" w:color="auto"/>
        <w:bottom w:val="none" w:sz="0" w:space="0" w:color="auto"/>
        <w:right w:val="none" w:sz="0" w:space="0" w:color="auto"/>
      </w:divBdr>
    </w:div>
    <w:div w:id="1557155547">
      <w:bodyDiv w:val="1"/>
      <w:marLeft w:val="45"/>
      <w:marRight w:val="45"/>
      <w:marTop w:val="45"/>
      <w:marBottom w:val="45"/>
      <w:divBdr>
        <w:top w:val="none" w:sz="0" w:space="0" w:color="auto"/>
        <w:left w:val="none" w:sz="0" w:space="0" w:color="auto"/>
        <w:bottom w:val="none" w:sz="0" w:space="0" w:color="auto"/>
        <w:right w:val="none" w:sz="0" w:space="0" w:color="auto"/>
      </w:divBdr>
      <w:divsChild>
        <w:div w:id="13637490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87044981">
      <w:bodyDiv w:val="1"/>
      <w:marLeft w:val="0"/>
      <w:marRight w:val="0"/>
      <w:marTop w:val="0"/>
      <w:marBottom w:val="0"/>
      <w:divBdr>
        <w:top w:val="none" w:sz="0" w:space="0" w:color="auto"/>
        <w:left w:val="none" w:sz="0" w:space="0" w:color="auto"/>
        <w:bottom w:val="none" w:sz="0" w:space="0" w:color="auto"/>
        <w:right w:val="none" w:sz="0" w:space="0" w:color="auto"/>
      </w:divBdr>
      <w:divsChild>
        <w:div w:id="622419262">
          <w:marLeft w:val="0"/>
          <w:marRight w:val="0"/>
          <w:marTop w:val="0"/>
          <w:marBottom w:val="0"/>
          <w:divBdr>
            <w:top w:val="none" w:sz="0" w:space="0" w:color="auto"/>
            <w:left w:val="none" w:sz="0" w:space="0" w:color="auto"/>
            <w:bottom w:val="none" w:sz="0" w:space="0" w:color="auto"/>
            <w:right w:val="none" w:sz="0" w:space="0" w:color="auto"/>
          </w:divBdr>
        </w:div>
        <w:div w:id="816649918">
          <w:marLeft w:val="0"/>
          <w:marRight w:val="0"/>
          <w:marTop w:val="0"/>
          <w:marBottom w:val="0"/>
          <w:divBdr>
            <w:top w:val="none" w:sz="0" w:space="0" w:color="auto"/>
            <w:left w:val="none" w:sz="0" w:space="0" w:color="auto"/>
            <w:bottom w:val="none" w:sz="0" w:space="0" w:color="auto"/>
            <w:right w:val="none" w:sz="0" w:space="0" w:color="auto"/>
          </w:divBdr>
        </w:div>
        <w:div w:id="1977486769">
          <w:marLeft w:val="0"/>
          <w:marRight w:val="0"/>
          <w:marTop w:val="0"/>
          <w:marBottom w:val="0"/>
          <w:divBdr>
            <w:top w:val="none" w:sz="0" w:space="0" w:color="auto"/>
            <w:left w:val="none" w:sz="0" w:space="0" w:color="auto"/>
            <w:bottom w:val="none" w:sz="0" w:space="0" w:color="auto"/>
            <w:right w:val="none" w:sz="0" w:space="0" w:color="auto"/>
          </w:divBdr>
        </w:div>
        <w:div w:id="1114134517">
          <w:marLeft w:val="0"/>
          <w:marRight w:val="0"/>
          <w:marTop w:val="0"/>
          <w:marBottom w:val="0"/>
          <w:divBdr>
            <w:top w:val="none" w:sz="0" w:space="0" w:color="auto"/>
            <w:left w:val="none" w:sz="0" w:space="0" w:color="auto"/>
            <w:bottom w:val="none" w:sz="0" w:space="0" w:color="auto"/>
            <w:right w:val="none" w:sz="0" w:space="0" w:color="auto"/>
          </w:divBdr>
        </w:div>
      </w:divsChild>
    </w:div>
    <w:div w:id="1915965375">
      <w:bodyDiv w:val="1"/>
      <w:marLeft w:val="0"/>
      <w:marRight w:val="0"/>
      <w:marTop w:val="0"/>
      <w:marBottom w:val="0"/>
      <w:divBdr>
        <w:top w:val="none" w:sz="0" w:space="0" w:color="auto"/>
        <w:left w:val="none" w:sz="0" w:space="0" w:color="auto"/>
        <w:bottom w:val="none" w:sz="0" w:space="0" w:color="auto"/>
        <w:right w:val="none" w:sz="0" w:space="0" w:color="auto"/>
      </w:divBdr>
      <w:divsChild>
        <w:div w:id="1138374080">
          <w:marLeft w:val="0"/>
          <w:marRight w:val="0"/>
          <w:marTop w:val="0"/>
          <w:marBottom w:val="0"/>
          <w:divBdr>
            <w:top w:val="none" w:sz="0" w:space="0" w:color="auto"/>
            <w:left w:val="none" w:sz="0" w:space="0" w:color="auto"/>
            <w:bottom w:val="none" w:sz="0" w:space="0" w:color="auto"/>
            <w:right w:val="none" w:sz="0" w:space="0" w:color="auto"/>
          </w:divBdr>
        </w:div>
        <w:div w:id="593905715">
          <w:marLeft w:val="0"/>
          <w:marRight w:val="0"/>
          <w:marTop w:val="0"/>
          <w:marBottom w:val="0"/>
          <w:divBdr>
            <w:top w:val="none" w:sz="0" w:space="0" w:color="auto"/>
            <w:left w:val="none" w:sz="0" w:space="0" w:color="auto"/>
            <w:bottom w:val="none" w:sz="0" w:space="0" w:color="auto"/>
            <w:right w:val="none" w:sz="0" w:space="0" w:color="auto"/>
          </w:divBdr>
        </w:div>
      </w:divsChild>
    </w:div>
    <w:div w:id="2013140417">
      <w:bodyDiv w:val="1"/>
      <w:marLeft w:val="0"/>
      <w:marRight w:val="0"/>
      <w:marTop w:val="0"/>
      <w:marBottom w:val="0"/>
      <w:divBdr>
        <w:top w:val="none" w:sz="0" w:space="0" w:color="auto"/>
        <w:left w:val="none" w:sz="0" w:space="0" w:color="auto"/>
        <w:bottom w:val="none" w:sz="0" w:space="0" w:color="auto"/>
        <w:right w:val="none" w:sz="0" w:space="0" w:color="auto"/>
      </w:divBdr>
      <w:divsChild>
        <w:div w:id="1081222314">
          <w:marLeft w:val="0"/>
          <w:marRight w:val="0"/>
          <w:marTop w:val="0"/>
          <w:marBottom w:val="0"/>
          <w:divBdr>
            <w:top w:val="none" w:sz="0" w:space="0" w:color="auto"/>
            <w:left w:val="none" w:sz="0" w:space="0" w:color="auto"/>
            <w:bottom w:val="none" w:sz="0" w:space="0" w:color="auto"/>
            <w:right w:val="none" w:sz="0" w:space="0" w:color="auto"/>
          </w:divBdr>
        </w:div>
        <w:div w:id="26345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6&amp;l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pdfs/2014/AG06712E04.do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oas.org/ext/Portals/23/DCF/CIDRP00933E08.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ctad.org/en/pages/PublicationWebflyer.aspx?publicationid=2711" TargetMode="External"/><Relationship Id="rId3" Type="http://schemas.openxmlformats.org/officeDocument/2006/relationships/hyperlink" Target="https://blogs.iadb.org/ideas-matter/en/covid-19-the-challenge-of-ensuring-assistance-to-informal-and-vulnerable-workers/" TargetMode="External"/><Relationship Id="rId7" Type="http://schemas.openxmlformats.org/officeDocument/2006/relationships/hyperlink" Target="https://unctad.org/meetings/en/SessionalDocuments/ecn162019d3_en.pdf" TargetMode="External"/><Relationship Id="rId2" Type="http://schemas.openxmlformats.org/officeDocument/2006/relationships/hyperlink" Target="https://www.cepal.org/en/publications/45784-addressing-growing-impact-covid-19-view-reactivation-equality-new-projections" TargetMode="External"/><Relationship Id="rId1" Type="http://schemas.openxmlformats.org/officeDocument/2006/relationships/hyperlink" Target="https://www.undrr.org/terminology/resilience" TargetMode="External"/><Relationship Id="rId6" Type="http://schemas.openxmlformats.org/officeDocument/2006/relationships/hyperlink" Target="https://doi.org/10.18111/9789284421633" TargetMode="External"/><Relationship Id="rId5" Type="http://schemas.openxmlformats.org/officeDocument/2006/relationships/hyperlink" Target="https://wttc.org/Research/Economic-Impact" TargetMode="External"/><Relationship Id="rId4" Type="http://schemas.openxmlformats.org/officeDocument/2006/relationships/hyperlink" Target="https://publications.iadb.org/publications/english/document/Extreme-Outlier-The-Pandemics-Unprecedented-Shock-to-Tourism-in-Latin-America-and-the-Caribb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6E09-AE15-4C58-94F8-D3F97E1E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Cooperation:</vt:lpstr>
    </vt:vector>
  </TitlesOfParts>
  <Company>OAS</Company>
  <LinksUpToDate>false</LinksUpToDate>
  <CharactersWithSpaces>16060</CharactersWithSpaces>
  <SharedDoc>false</SharedDoc>
  <HLinks>
    <vt:vector size="42" baseType="variant">
      <vt:variant>
        <vt:i4>3735608</vt:i4>
      </vt:variant>
      <vt:variant>
        <vt:i4>3</vt:i4>
      </vt:variant>
      <vt:variant>
        <vt:i4>0</vt:i4>
      </vt:variant>
      <vt:variant>
        <vt:i4>5</vt:i4>
      </vt:variant>
      <vt:variant>
        <vt:lpwstr>http://scm.oas.org/pdfs/2014/AG06712E04.doc</vt:lpwstr>
      </vt:variant>
      <vt:variant>
        <vt:lpwstr/>
      </vt:variant>
      <vt:variant>
        <vt:i4>5963871</vt:i4>
      </vt:variant>
      <vt:variant>
        <vt:i4>0</vt:i4>
      </vt:variant>
      <vt:variant>
        <vt:i4>0</vt:i4>
      </vt:variant>
      <vt:variant>
        <vt:i4>5</vt:i4>
      </vt:variant>
      <vt:variant>
        <vt:lpwstr>https://www.oas.org/ext/Portals/23/DCF/CIDRP00933E08.pdf</vt:lpwstr>
      </vt:variant>
      <vt:variant>
        <vt:lpwstr/>
      </vt:variant>
      <vt:variant>
        <vt:i4>2359415</vt:i4>
      </vt:variant>
      <vt:variant>
        <vt:i4>12</vt:i4>
      </vt:variant>
      <vt:variant>
        <vt:i4>0</vt:i4>
      </vt:variant>
      <vt:variant>
        <vt:i4>5</vt:i4>
      </vt:variant>
      <vt:variant>
        <vt:lpwstr>https://unctad.org/en/pages/PublicationWebflyer.aspx?publicationid=2711</vt:lpwstr>
      </vt:variant>
      <vt:variant>
        <vt:lpwstr/>
      </vt:variant>
      <vt:variant>
        <vt:i4>8192069</vt:i4>
      </vt:variant>
      <vt:variant>
        <vt:i4>9</vt:i4>
      </vt:variant>
      <vt:variant>
        <vt:i4>0</vt:i4>
      </vt:variant>
      <vt:variant>
        <vt:i4>5</vt:i4>
      </vt:variant>
      <vt:variant>
        <vt:lpwstr>https://unctad.org/meetings/en/SessionalDocuments/ecn162019d3_en.pdf</vt:lpwstr>
      </vt:variant>
      <vt:variant>
        <vt:lpwstr/>
      </vt:variant>
      <vt:variant>
        <vt:i4>3735659</vt:i4>
      </vt:variant>
      <vt:variant>
        <vt:i4>6</vt:i4>
      </vt:variant>
      <vt:variant>
        <vt:i4>0</vt:i4>
      </vt:variant>
      <vt:variant>
        <vt:i4>5</vt:i4>
      </vt:variant>
      <vt:variant>
        <vt:lpwstr>https://publications.iadb.org/publications/english/document/Extreme-Outlier-The-Pandemics-Unprecedented-Shock-to-Tourism-in-Latin-America-and-the-Caribbean.pdf</vt:lpwstr>
      </vt:variant>
      <vt:variant>
        <vt:lpwstr/>
      </vt:variant>
      <vt:variant>
        <vt:i4>90</vt:i4>
      </vt:variant>
      <vt:variant>
        <vt:i4>3</vt:i4>
      </vt:variant>
      <vt:variant>
        <vt:i4>0</vt:i4>
      </vt:variant>
      <vt:variant>
        <vt:i4>5</vt:i4>
      </vt:variant>
      <vt:variant>
        <vt:lpwstr>https://blogs.iadb.org/ideas-matter/en/covid-19-the-challenge-of-ensuring-assistance-to-informal-and-vulnerable-workers/</vt:lpwstr>
      </vt:variant>
      <vt:variant>
        <vt:lpwstr/>
      </vt:variant>
      <vt:variant>
        <vt:i4>5046298</vt:i4>
      </vt:variant>
      <vt:variant>
        <vt:i4>0</vt:i4>
      </vt:variant>
      <vt:variant>
        <vt:i4>0</vt:i4>
      </vt:variant>
      <vt:variant>
        <vt:i4>5</vt:i4>
      </vt:variant>
      <vt:variant>
        <vt:lpwstr>https://www.cepal.org/en/publications/45784-addressing-growing-impact-covid-19-view-reactivation-equality-new-projections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dc:title>
  <dc:subject/>
  <dc:creator>USER1</dc:creator>
  <cp:keywords/>
  <cp:lastModifiedBy>Burns, Sandra</cp:lastModifiedBy>
  <cp:revision>4</cp:revision>
  <cp:lastPrinted>2015-02-09T19:30:00Z</cp:lastPrinted>
  <dcterms:created xsi:type="dcterms:W3CDTF">2020-09-25T16:21:00Z</dcterms:created>
  <dcterms:modified xsi:type="dcterms:W3CDTF">2020-09-25T16:30:00Z</dcterms:modified>
</cp:coreProperties>
</file>